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1B" w:rsidRPr="00FF65F3" w:rsidRDefault="00BE641B" w:rsidP="00FF65F3">
      <w:pPr>
        <w:keepNext/>
        <w:widowControl w:val="0"/>
        <w:autoSpaceDE w:val="0"/>
        <w:autoSpaceDN w:val="0"/>
        <w:adjustRightInd w:val="0"/>
        <w:spacing w:after="0" w:line="360" w:lineRule="auto"/>
        <w:jc w:val="both"/>
        <w:outlineLvl w:val="0"/>
        <w:rPr>
          <w:rFonts w:ascii="Bookman Old Style" w:eastAsia="Times New Roman" w:hAnsi="Bookman Old Style"/>
          <w:b/>
          <w:bCs/>
          <w:u w:val="single"/>
        </w:rPr>
      </w:pPr>
      <w:r w:rsidRPr="00FF65F3">
        <w:rPr>
          <w:rFonts w:ascii="Bookman Old Style" w:eastAsia="Times New Roman" w:hAnsi="Bookman Old Style"/>
          <w:b/>
          <w:bCs/>
          <w:u w:val="single"/>
        </w:rPr>
        <w:t xml:space="preserve">PROMUEVE </w:t>
      </w:r>
      <w:r w:rsidR="008E0FE2" w:rsidRPr="00FF65F3">
        <w:rPr>
          <w:rFonts w:ascii="Bookman Old Style" w:eastAsia="Times New Roman" w:hAnsi="Bookman Old Style"/>
          <w:b/>
          <w:bCs/>
          <w:u w:val="single"/>
        </w:rPr>
        <w:t>ACCION DE AMPARO AMBIENTAL</w:t>
      </w:r>
      <w:r w:rsidRPr="00FF65F3">
        <w:rPr>
          <w:rFonts w:ascii="Bookman Old Style" w:eastAsia="Times New Roman" w:hAnsi="Bookman Old Style"/>
          <w:b/>
          <w:bCs/>
          <w:u w:val="single"/>
        </w:rPr>
        <w:t xml:space="preserve">.- </w:t>
      </w:r>
    </w:p>
    <w:p w:rsidR="00BE641B" w:rsidRPr="00FF65F3" w:rsidRDefault="00BE641B" w:rsidP="00FF65F3">
      <w:pPr>
        <w:spacing w:after="0" w:line="360" w:lineRule="auto"/>
        <w:rPr>
          <w:rFonts w:ascii="Bookman Old Style" w:eastAsia="Times New Roman" w:hAnsi="Bookman Old Style"/>
        </w:rPr>
      </w:pPr>
    </w:p>
    <w:p w:rsidR="00BE641B" w:rsidRPr="00FF65F3" w:rsidRDefault="00BE641B" w:rsidP="00FF65F3">
      <w:pPr>
        <w:spacing w:after="0" w:line="360" w:lineRule="auto"/>
        <w:rPr>
          <w:rFonts w:ascii="Bookman Old Style" w:eastAsia="Times New Roman" w:hAnsi="Bookman Old Style"/>
        </w:rPr>
      </w:pPr>
    </w:p>
    <w:p w:rsidR="00BE641B" w:rsidRPr="00FF65F3" w:rsidRDefault="00BE641B" w:rsidP="00FF65F3">
      <w:pPr>
        <w:widowControl w:val="0"/>
        <w:autoSpaceDE w:val="0"/>
        <w:autoSpaceDN w:val="0"/>
        <w:adjustRightInd w:val="0"/>
        <w:spacing w:after="0" w:line="360" w:lineRule="auto"/>
        <w:jc w:val="both"/>
        <w:rPr>
          <w:rFonts w:ascii="Bookman Old Style" w:eastAsia="Times New Roman" w:hAnsi="Bookman Old Style"/>
        </w:rPr>
      </w:pPr>
    </w:p>
    <w:p w:rsidR="00BE641B" w:rsidRPr="00FF65F3" w:rsidRDefault="00BE641B" w:rsidP="00FF65F3">
      <w:pPr>
        <w:widowControl w:val="0"/>
        <w:autoSpaceDE w:val="0"/>
        <w:autoSpaceDN w:val="0"/>
        <w:adjustRightInd w:val="0"/>
        <w:spacing w:after="0" w:line="360" w:lineRule="auto"/>
        <w:jc w:val="both"/>
        <w:rPr>
          <w:rFonts w:ascii="Bookman Old Style" w:eastAsia="Times New Roman" w:hAnsi="Bookman Old Style"/>
          <w:b/>
          <w:bCs/>
        </w:rPr>
      </w:pPr>
      <w:r w:rsidRPr="00FF65F3">
        <w:rPr>
          <w:rFonts w:ascii="Bookman Old Style" w:eastAsia="Times New Roman" w:hAnsi="Bookman Old Style"/>
          <w:b/>
          <w:bCs/>
        </w:rPr>
        <w:t xml:space="preserve">SEÑOR  JUEZ:      </w:t>
      </w:r>
    </w:p>
    <w:p w:rsidR="00E62A82" w:rsidRPr="00FF65F3" w:rsidRDefault="00E62A82" w:rsidP="00E62A82">
      <w:pPr>
        <w:spacing w:after="0" w:line="360" w:lineRule="auto"/>
        <w:ind w:firstLine="2127"/>
        <w:jc w:val="both"/>
        <w:rPr>
          <w:rFonts w:ascii="Bookman Old Style" w:eastAsia="Times New Roman" w:hAnsi="Bookman Old Style" w:cs="Bookman Old Style"/>
        </w:rPr>
      </w:pPr>
      <w:r>
        <w:rPr>
          <w:rFonts w:ascii="Bookman Old Style" w:eastAsia="Times New Roman" w:hAnsi="Bookman Old Style" w:cs="Bookman Old Style"/>
          <w:b/>
        </w:rPr>
        <w:t>Marcia I. CAMINOA</w:t>
      </w:r>
      <w:r w:rsidRPr="00FF65F3">
        <w:rPr>
          <w:rFonts w:ascii="Bookman Old Style" w:eastAsia="Times New Roman" w:hAnsi="Bookman Old Style" w:cs="Bookman Old Style"/>
        </w:rPr>
        <w:t xml:space="preserve">, Abogada, Matrícula </w:t>
      </w:r>
      <w:r>
        <w:rPr>
          <w:rFonts w:ascii="Bookman Old Style" w:eastAsia="Times New Roman" w:hAnsi="Bookman Old Style" w:cs="Bookman Old Style"/>
        </w:rPr>
        <w:t xml:space="preserve">Tomo 2 Folio 276 </w:t>
      </w:r>
      <w:proofErr w:type="spellStart"/>
      <w:r>
        <w:rPr>
          <w:rFonts w:ascii="Bookman Old Style" w:eastAsia="Times New Roman" w:hAnsi="Bookman Old Style" w:cs="Bookman Old Style"/>
        </w:rPr>
        <w:t>M°</w:t>
      </w:r>
      <w:proofErr w:type="spellEnd"/>
      <w:r>
        <w:rPr>
          <w:rFonts w:ascii="Bookman Old Style" w:eastAsia="Times New Roman" w:hAnsi="Bookman Old Style" w:cs="Bookman Old Style"/>
        </w:rPr>
        <w:t xml:space="preserve"> 410</w:t>
      </w:r>
      <w:r w:rsidRPr="00FF65F3">
        <w:rPr>
          <w:rFonts w:ascii="Bookman Old Style" w:eastAsia="Times New Roman" w:hAnsi="Bookman Old Style" w:cs="Bookman Old Style"/>
        </w:rPr>
        <w:t xml:space="preserve"> CPAPM, por derecho propio</w:t>
      </w:r>
      <w:r>
        <w:rPr>
          <w:rFonts w:ascii="Bookman Old Style" w:eastAsia="Times New Roman" w:hAnsi="Bookman Old Style" w:cs="Bookman Old Style"/>
        </w:rPr>
        <w:t xml:space="preserve"> y en interés colectivo</w:t>
      </w:r>
      <w:r w:rsidRPr="00FF65F3">
        <w:rPr>
          <w:rFonts w:ascii="Bookman Old Style" w:eastAsia="Times New Roman" w:hAnsi="Bookman Old Style" w:cs="Bookman Old Style"/>
        </w:rPr>
        <w:t xml:space="preserve">, con domicilio real en la calle </w:t>
      </w:r>
      <w:r>
        <w:rPr>
          <w:rFonts w:ascii="Bookman Old Style" w:eastAsia="Times New Roman" w:hAnsi="Bookman Old Style" w:cs="Bookman Old Style"/>
        </w:rPr>
        <w:t>Mosqueta</w:t>
      </w:r>
      <w:r w:rsidRPr="00FF65F3">
        <w:rPr>
          <w:rFonts w:ascii="Bookman Old Style" w:eastAsia="Times New Roman" w:hAnsi="Bookman Old Style" w:cs="Bookman Old Style"/>
        </w:rPr>
        <w:t xml:space="preserve"> N° </w:t>
      </w:r>
      <w:r>
        <w:rPr>
          <w:rFonts w:ascii="Bookman Old Style" w:eastAsia="Times New Roman" w:hAnsi="Bookman Old Style" w:cs="Bookman Old Style"/>
        </w:rPr>
        <w:t>4214</w:t>
      </w:r>
      <w:r w:rsidRPr="00FF65F3">
        <w:rPr>
          <w:rFonts w:ascii="Bookman Old Style" w:eastAsia="Times New Roman" w:hAnsi="Bookman Old Style" w:cs="Bookman Old Style"/>
        </w:rPr>
        <w:t xml:space="preserve"> de la Ciudad de Puerto Madryn, constituyendo domicilio procesal en la calle </w:t>
      </w:r>
      <w:r>
        <w:rPr>
          <w:rFonts w:ascii="Bookman Old Style" w:eastAsia="Times New Roman" w:hAnsi="Bookman Old Style" w:cs="Bookman Old Style"/>
        </w:rPr>
        <w:t>Mosqueta</w:t>
      </w:r>
      <w:r w:rsidRPr="00FF65F3">
        <w:rPr>
          <w:rFonts w:ascii="Bookman Old Style" w:eastAsia="Times New Roman" w:hAnsi="Bookman Old Style" w:cs="Bookman Old Style"/>
        </w:rPr>
        <w:t xml:space="preserve"> N° </w:t>
      </w:r>
      <w:r>
        <w:rPr>
          <w:rFonts w:ascii="Bookman Old Style" w:eastAsia="Times New Roman" w:hAnsi="Bookman Old Style" w:cs="Bookman Old Style"/>
        </w:rPr>
        <w:t>4214</w:t>
      </w:r>
      <w:r w:rsidRPr="00FF65F3">
        <w:rPr>
          <w:rFonts w:ascii="Bookman Old Style" w:eastAsia="Times New Roman" w:hAnsi="Bookman Old Style" w:cs="Bookman Old Style"/>
        </w:rPr>
        <w:t xml:space="preserve"> de la Ciudad de Puerto Madryn, ante V.S. se presenta y respetuosamente dice:</w:t>
      </w:r>
    </w:p>
    <w:p w:rsidR="00E62A82" w:rsidRPr="00FF65F3" w:rsidRDefault="00E62A82" w:rsidP="00E62A82">
      <w:pPr>
        <w:spacing w:after="0" w:line="360" w:lineRule="auto"/>
        <w:ind w:firstLine="2127"/>
        <w:jc w:val="both"/>
        <w:rPr>
          <w:rFonts w:ascii="Bookman Old Style" w:eastAsia="Times New Roman" w:hAnsi="Bookman Old Style" w:cs="Bookman Old Style"/>
          <w:b/>
          <w:u w:val="single"/>
        </w:rPr>
      </w:pPr>
    </w:p>
    <w:p w:rsidR="00E62A82" w:rsidRPr="00FF65F3" w:rsidRDefault="00E62A82" w:rsidP="00E62A82">
      <w:pPr>
        <w:spacing w:after="0" w:line="360" w:lineRule="auto"/>
        <w:ind w:firstLine="2127"/>
        <w:jc w:val="both"/>
        <w:rPr>
          <w:rFonts w:ascii="Bookman Old Style" w:eastAsia="Times New Roman" w:hAnsi="Bookman Old Style"/>
          <w:u w:val="single"/>
        </w:rPr>
      </w:pPr>
      <w:r w:rsidRPr="00FF65F3">
        <w:rPr>
          <w:rFonts w:ascii="Bookman Old Style" w:eastAsia="Times New Roman" w:hAnsi="Bookman Old Style" w:cs="Bookman Old Style"/>
          <w:b/>
          <w:u w:val="single"/>
        </w:rPr>
        <w:t>I</w:t>
      </w:r>
      <w:r w:rsidRPr="00FF65F3">
        <w:rPr>
          <w:rFonts w:ascii="Bookman Old Style" w:eastAsia="Times New Roman" w:hAnsi="Bookman Old Style"/>
          <w:b/>
          <w:u w:val="single"/>
        </w:rPr>
        <w:t xml:space="preserve">. </w:t>
      </w:r>
      <w:r w:rsidRPr="00FF65F3">
        <w:rPr>
          <w:rFonts w:ascii="Bookman Old Style" w:eastAsia="Times New Roman" w:hAnsi="Bookman Old Style"/>
          <w:b/>
          <w:bCs/>
          <w:u w:val="single"/>
        </w:rPr>
        <w:t>OBJETO</w:t>
      </w:r>
      <w:r w:rsidRPr="00FF65F3">
        <w:rPr>
          <w:rFonts w:ascii="Bookman Old Style" w:eastAsia="Times New Roman" w:hAnsi="Bookman Old Style"/>
          <w:b/>
          <w:u w:val="single"/>
        </w:rPr>
        <w:t>.</w:t>
      </w:r>
    </w:p>
    <w:p w:rsidR="00E62A82" w:rsidRPr="00FF65F3" w:rsidRDefault="00E62A82" w:rsidP="00E62A82">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Que vengo en este acto a promover en debido tiempo y forma la Acción de Amparo Ambiental contra el</w:t>
      </w:r>
      <w:r>
        <w:rPr>
          <w:rFonts w:ascii="Bookman Old Style" w:eastAsia="Times New Roman" w:hAnsi="Bookman Old Style"/>
        </w:rPr>
        <w:t xml:space="preserve"> Estado de la Provincia del Chubut- Poder Ejecutivo- y </w:t>
      </w:r>
      <w:r w:rsidRPr="00FF65F3">
        <w:rPr>
          <w:rFonts w:ascii="Bookman Old Style" w:eastAsia="Times New Roman" w:hAnsi="Bookman Old Style"/>
        </w:rPr>
        <w:t>Ministerio de Ambiente y Control del Desarrollo Sustentable, con domicilio</w:t>
      </w:r>
      <w:r>
        <w:rPr>
          <w:rFonts w:ascii="Bookman Old Style" w:eastAsia="Times New Roman" w:hAnsi="Bookman Old Style"/>
        </w:rPr>
        <w:t>s</w:t>
      </w:r>
      <w:r w:rsidRPr="00FF65F3">
        <w:rPr>
          <w:rFonts w:ascii="Bookman Old Style" w:eastAsia="Times New Roman" w:hAnsi="Bookman Old Style"/>
        </w:rPr>
        <w:t xml:space="preserve"> en la calle</w:t>
      </w:r>
      <w:r>
        <w:rPr>
          <w:rFonts w:ascii="Bookman Old Style" w:eastAsia="Times New Roman" w:hAnsi="Bookman Old Style"/>
        </w:rPr>
        <w:t xml:space="preserve"> Fontana N° 50 e</w:t>
      </w:r>
      <w:r w:rsidRPr="00FF65F3">
        <w:rPr>
          <w:rFonts w:ascii="Bookman Old Style" w:eastAsia="Times New Roman" w:hAnsi="Bookman Old Style"/>
        </w:rPr>
        <w:t xml:space="preserve"> </w:t>
      </w:r>
      <w:proofErr w:type="spellStart"/>
      <w:r w:rsidRPr="00FF65F3">
        <w:rPr>
          <w:rFonts w:ascii="Bookman Old Style" w:eastAsia="Times New Roman" w:hAnsi="Bookman Old Style"/>
        </w:rPr>
        <w:t>Yrigoyen</w:t>
      </w:r>
      <w:proofErr w:type="spellEnd"/>
      <w:r w:rsidRPr="00FF65F3">
        <w:rPr>
          <w:rFonts w:ascii="Bookman Old Style" w:eastAsia="Times New Roman" w:hAnsi="Bookman Old Style"/>
        </w:rPr>
        <w:t xml:space="preserve"> N° 42</w:t>
      </w:r>
      <w:r>
        <w:rPr>
          <w:rFonts w:ascii="Bookman Old Style" w:eastAsia="Times New Roman" w:hAnsi="Bookman Old Style"/>
        </w:rPr>
        <w:t>, respectivamente,</w:t>
      </w:r>
      <w:r w:rsidRPr="00FF65F3">
        <w:rPr>
          <w:rFonts w:ascii="Bookman Old Style" w:eastAsia="Times New Roman" w:hAnsi="Bookman Old Style"/>
        </w:rPr>
        <w:t xml:space="preserve"> </w:t>
      </w:r>
      <w:r>
        <w:rPr>
          <w:rFonts w:ascii="Bookman Old Style" w:eastAsia="Times New Roman" w:hAnsi="Bookman Old Style"/>
        </w:rPr>
        <w:t xml:space="preserve">ambos </w:t>
      </w:r>
      <w:r w:rsidRPr="00FF65F3">
        <w:rPr>
          <w:rFonts w:ascii="Bookman Old Style" w:eastAsia="Times New Roman" w:hAnsi="Bookman Old Style"/>
        </w:rPr>
        <w:t>de la Ciudad de Rawson, solicitando se ordene a la demandada suspenda la actividad desplegada por la empresa ARCANTE S.A. que posee un centro de disposición de residuos pesqueros, que consiste en arrojados en fosas o pozos o trincheras y taparlos, localizado en un predio ubicado a 15 kilómetros de Trelew y con acceso desde Ruta 1</w:t>
      </w:r>
      <w:r>
        <w:rPr>
          <w:rFonts w:ascii="Bookman Old Style" w:eastAsia="Times New Roman" w:hAnsi="Bookman Old Style"/>
        </w:rPr>
        <w:t>, por haber inici</w:t>
      </w:r>
      <w:r w:rsidR="005D1238">
        <w:rPr>
          <w:rFonts w:ascii="Bookman Old Style" w:eastAsia="Times New Roman" w:hAnsi="Bookman Old Style"/>
        </w:rPr>
        <w:t>ado la actividad sin haber tram</w:t>
      </w:r>
      <w:r>
        <w:rPr>
          <w:rFonts w:ascii="Bookman Old Style" w:eastAsia="Times New Roman" w:hAnsi="Bookman Old Style"/>
        </w:rPr>
        <w:t>itado y obtenido la Declaración de Impacto Ambiental</w:t>
      </w:r>
      <w:r w:rsidRPr="00FF65F3">
        <w:rPr>
          <w:rFonts w:ascii="Bookman Old Style" w:eastAsia="Times New Roman" w:hAnsi="Bookman Old Style"/>
        </w:rPr>
        <w:t>.-</w:t>
      </w:r>
    </w:p>
    <w:p w:rsidR="00CC7F30" w:rsidRPr="00FF65F3" w:rsidRDefault="00CC7F30"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La presente acción se enmarca conforme el Artículo 41</w:t>
      </w:r>
      <w:r w:rsidR="00AF413C">
        <w:rPr>
          <w:rFonts w:ascii="Bookman Old Style" w:eastAsia="Times New Roman" w:hAnsi="Bookman Old Style"/>
        </w:rPr>
        <w:t>° y 43°</w:t>
      </w:r>
      <w:r w:rsidRPr="00FF65F3">
        <w:rPr>
          <w:rFonts w:ascii="Bookman Old Style" w:eastAsia="Times New Roman" w:hAnsi="Bookman Old Style"/>
        </w:rPr>
        <w:t xml:space="preserve"> de la Constitución Nacional, las Leyes Nacionales N° 25.612 “Gestión Integral de Residuos Industriales y Actividades de Servicios” y N° 25.675 “Ley General del Ambiente”,</w:t>
      </w:r>
      <w:r w:rsidR="00330515" w:rsidRPr="00FF65F3">
        <w:rPr>
          <w:rFonts w:ascii="Bookman Old Style" w:eastAsia="Times New Roman" w:hAnsi="Bookman Old Style"/>
        </w:rPr>
        <w:t xml:space="preserve"> los Artículos 109° y 111° de la Constitución Provincial y</w:t>
      </w:r>
      <w:r w:rsidR="006909F2">
        <w:rPr>
          <w:rFonts w:ascii="Bookman Old Style" w:eastAsia="Times New Roman" w:hAnsi="Bookman Old Style"/>
        </w:rPr>
        <w:t>,</w:t>
      </w:r>
      <w:r w:rsidR="00330515" w:rsidRPr="00FF65F3">
        <w:rPr>
          <w:rFonts w:ascii="Bookman Old Style" w:eastAsia="Times New Roman" w:hAnsi="Bookman Old Style"/>
        </w:rPr>
        <w:t xml:space="preserve"> los Artículo</w:t>
      </w:r>
      <w:r w:rsidR="006909F2">
        <w:rPr>
          <w:rFonts w:ascii="Bookman Old Style" w:eastAsia="Times New Roman" w:hAnsi="Bookman Old Style"/>
        </w:rPr>
        <w:t>s  11º</w:t>
      </w:r>
      <w:r w:rsidR="00330515" w:rsidRPr="00FF65F3">
        <w:rPr>
          <w:rFonts w:ascii="Bookman Old Style" w:eastAsia="Times New Roman" w:hAnsi="Bookman Old Style"/>
        </w:rPr>
        <w:t xml:space="preserve"> 30°</w:t>
      </w:r>
      <w:r w:rsidR="004042CF" w:rsidRPr="00FF65F3">
        <w:rPr>
          <w:rFonts w:ascii="Bookman Old Style" w:eastAsia="Times New Roman" w:hAnsi="Bookman Old Style"/>
        </w:rPr>
        <w:t>, 31°, 35°</w:t>
      </w:r>
      <w:r w:rsidR="006909F2">
        <w:rPr>
          <w:rFonts w:ascii="Bookman Old Style" w:eastAsia="Times New Roman" w:hAnsi="Bookman Old Style"/>
        </w:rPr>
        <w:t>,</w:t>
      </w:r>
      <w:r w:rsidR="00330515" w:rsidRPr="00FF65F3">
        <w:rPr>
          <w:rFonts w:ascii="Bookman Old Style" w:eastAsia="Times New Roman" w:hAnsi="Bookman Old Style"/>
        </w:rPr>
        <w:t xml:space="preserve"> 143°</w:t>
      </w:r>
      <w:r w:rsidR="006909F2">
        <w:rPr>
          <w:rFonts w:ascii="Bookman Old Style" w:eastAsia="Times New Roman" w:hAnsi="Bookman Old Style"/>
        </w:rPr>
        <w:t>, 156º,157º,158º</w:t>
      </w:r>
      <w:r w:rsidR="004042CF" w:rsidRPr="00FF65F3">
        <w:rPr>
          <w:rFonts w:ascii="Bookman Old Style" w:eastAsia="Times New Roman" w:hAnsi="Bookman Old Style"/>
        </w:rPr>
        <w:t xml:space="preserve"> y </w:t>
      </w:r>
      <w:proofErr w:type="spellStart"/>
      <w:r w:rsidR="004042CF" w:rsidRPr="00FF65F3">
        <w:rPr>
          <w:rFonts w:ascii="Bookman Old Style" w:eastAsia="Times New Roman" w:hAnsi="Bookman Old Style"/>
        </w:rPr>
        <w:t>ccts</w:t>
      </w:r>
      <w:proofErr w:type="spellEnd"/>
      <w:r w:rsidR="004042CF" w:rsidRPr="00FF65F3">
        <w:rPr>
          <w:rFonts w:ascii="Bookman Old Style" w:eastAsia="Times New Roman" w:hAnsi="Bookman Old Style"/>
        </w:rPr>
        <w:t>.</w:t>
      </w:r>
      <w:r w:rsidR="00330515" w:rsidRPr="00FF65F3">
        <w:rPr>
          <w:rFonts w:ascii="Bookman Old Style" w:eastAsia="Times New Roman" w:hAnsi="Bookman Old Style"/>
        </w:rPr>
        <w:t xml:space="preserve"> de la Ley XI N° 35 “Código Ambiental del Chubut”.  </w:t>
      </w:r>
    </w:p>
    <w:p w:rsidR="00CC7F30" w:rsidRPr="00FF65F3" w:rsidRDefault="00CC7F30" w:rsidP="00FF65F3">
      <w:pPr>
        <w:spacing w:after="0" w:line="360" w:lineRule="auto"/>
        <w:ind w:firstLine="2127"/>
        <w:jc w:val="both"/>
        <w:rPr>
          <w:rFonts w:ascii="Bookman Old Style" w:eastAsia="Times New Roman" w:hAnsi="Bookman Old Style"/>
        </w:rPr>
      </w:pPr>
    </w:p>
    <w:p w:rsidR="00BE641B" w:rsidRPr="00FF65F3" w:rsidRDefault="00BE641B" w:rsidP="00FF65F3">
      <w:pPr>
        <w:spacing w:after="0" w:line="360" w:lineRule="auto"/>
        <w:ind w:firstLine="2127"/>
        <w:jc w:val="both"/>
        <w:rPr>
          <w:rFonts w:ascii="Bookman Old Style" w:eastAsia="Times New Roman" w:hAnsi="Bookman Old Style"/>
          <w:b/>
          <w:bCs/>
          <w:u w:val="single"/>
        </w:rPr>
      </w:pPr>
      <w:r w:rsidRPr="00FF65F3">
        <w:rPr>
          <w:rFonts w:ascii="Bookman Old Style" w:eastAsia="Times New Roman" w:hAnsi="Bookman Old Style"/>
          <w:b/>
          <w:bCs/>
          <w:u w:val="single"/>
        </w:rPr>
        <w:t>II. HECHOS.</w:t>
      </w:r>
    </w:p>
    <w:p w:rsidR="00330515" w:rsidRPr="00FF65F3" w:rsidRDefault="00330515"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La firma ARCANTE S.A. posee un</w:t>
      </w:r>
      <w:r w:rsidR="00CB7518">
        <w:rPr>
          <w:rFonts w:ascii="Bookman Old Style" w:eastAsia="Times New Roman" w:hAnsi="Bookman Old Style"/>
        </w:rPr>
        <w:t>a suerte de</w:t>
      </w:r>
      <w:r w:rsidRPr="00FF65F3">
        <w:rPr>
          <w:rFonts w:ascii="Bookman Old Style" w:eastAsia="Times New Roman" w:hAnsi="Bookman Old Style"/>
        </w:rPr>
        <w:t xml:space="preserve"> </w:t>
      </w:r>
      <w:r w:rsidR="00CB7518">
        <w:rPr>
          <w:rFonts w:ascii="Bookman Old Style" w:eastAsia="Times New Roman" w:hAnsi="Bookman Old Style"/>
        </w:rPr>
        <w:t>“</w:t>
      </w:r>
      <w:r w:rsidRPr="00FF65F3">
        <w:rPr>
          <w:rFonts w:ascii="Bookman Old Style" w:eastAsia="Times New Roman" w:hAnsi="Bookman Old Style"/>
        </w:rPr>
        <w:t>centro de disposición de residuos pesqueros</w:t>
      </w:r>
      <w:r w:rsidR="00CB7518">
        <w:rPr>
          <w:rFonts w:ascii="Bookman Old Style" w:eastAsia="Times New Roman" w:hAnsi="Bookman Old Style"/>
        </w:rPr>
        <w:t xml:space="preserve">” sin </w:t>
      </w:r>
      <w:r w:rsidR="008B12B7">
        <w:rPr>
          <w:rFonts w:ascii="Bookman Old Style" w:eastAsia="Times New Roman" w:hAnsi="Bookman Old Style"/>
        </w:rPr>
        <w:t xml:space="preserve">la </w:t>
      </w:r>
      <w:r w:rsidR="00CB7518">
        <w:rPr>
          <w:rFonts w:ascii="Bookman Old Style" w:eastAsia="Times New Roman" w:hAnsi="Bookman Old Style"/>
        </w:rPr>
        <w:t>habilitación correspondiente toda vez que</w:t>
      </w:r>
      <w:r w:rsidR="008B12B7">
        <w:rPr>
          <w:rFonts w:ascii="Bookman Old Style" w:eastAsia="Times New Roman" w:hAnsi="Bookman Old Style"/>
        </w:rPr>
        <w:t>,</w:t>
      </w:r>
      <w:r w:rsidR="00CB7518">
        <w:rPr>
          <w:rFonts w:ascii="Bookman Old Style" w:eastAsia="Times New Roman" w:hAnsi="Bookman Old Style"/>
        </w:rPr>
        <w:t xml:space="preserve"> carecería, según surge de la página del Ministerio</w:t>
      </w:r>
      <w:r w:rsidR="002656BD">
        <w:rPr>
          <w:rFonts w:ascii="Bookman Old Style" w:eastAsia="Times New Roman" w:hAnsi="Bookman Old Style"/>
        </w:rPr>
        <w:t xml:space="preserve"> y de información periodística</w:t>
      </w:r>
      <w:r w:rsidR="00CB7518">
        <w:rPr>
          <w:rFonts w:ascii="Bookman Old Style" w:eastAsia="Times New Roman" w:hAnsi="Bookman Old Style"/>
        </w:rPr>
        <w:t xml:space="preserve">, de la </w:t>
      </w:r>
      <w:r w:rsidR="00E62A82">
        <w:rPr>
          <w:rFonts w:ascii="Bookman Old Style" w:eastAsia="Times New Roman" w:hAnsi="Bookman Old Style"/>
        </w:rPr>
        <w:t>E</w:t>
      </w:r>
      <w:r w:rsidR="00CB7518">
        <w:rPr>
          <w:rFonts w:ascii="Bookman Old Style" w:eastAsia="Times New Roman" w:hAnsi="Bookman Old Style"/>
        </w:rPr>
        <w:t xml:space="preserve">valuación de </w:t>
      </w:r>
      <w:r w:rsidR="00E62A82">
        <w:rPr>
          <w:rFonts w:ascii="Bookman Old Style" w:eastAsia="Times New Roman" w:hAnsi="Bookman Old Style"/>
        </w:rPr>
        <w:t>I</w:t>
      </w:r>
      <w:r w:rsidR="00CB7518">
        <w:rPr>
          <w:rFonts w:ascii="Bookman Old Style" w:eastAsia="Times New Roman" w:hAnsi="Bookman Old Style"/>
        </w:rPr>
        <w:t xml:space="preserve">mpacto </w:t>
      </w:r>
      <w:r w:rsidR="00E62A82">
        <w:rPr>
          <w:rFonts w:ascii="Bookman Old Style" w:eastAsia="Times New Roman" w:hAnsi="Bookman Old Style"/>
        </w:rPr>
        <w:t>A</w:t>
      </w:r>
      <w:r w:rsidR="00CB7518">
        <w:rPr>
          <w:rFonts w:ascii="Bookman Old Style" w:eastAsia="Times New Roman" w:hAnsi="Bookman Old Style"/>
        </w:rPr>
        <w:t>mbiental correspondiente (en adelante, EIA); la actividad desplegada en</w:t>
      </w:r>
      <w:r w:rsidR="002656BD">
        <w:rPr>
          <w:rFonts w:ascii="Bookman Old Style" w:eastAsia="Times New Roman" w:hAnsi="Bookman Old Style"/>
        </w:rPr>
        <w:t xml:space="preserve"> el</w:t>
      </w:r>
      <w:r w:rsidR="00CB7518">
        <w:rPr>
          <w:rFonts w:ascii="Bookman Old Style" w:eastAsia="Times New Roman" w:hAnsi="Bookman Old Style"/>
        </w:rPr>
        <w:t xml:space="preserve"> lugar </w:t>
      </w:r>
      <w:r w:rsidRPr="00FF65F3">
        <w:rPr>
          <w:rFonts w:ascii="Bookman Old Style" w:eastAsia="Times New Roman" w:hAnsi="Bookman Old Style"/>
        </w:rPr>
        <w:t>consiste en arroja</w:t>
      </w:r>
      <w:r w:rsidR="00E62A82">
        <w:rPr>
          <w:rFonts w:ascii="Bookman Old Style" w:eastAsia="Times New Roman" w:hAnsi="Bookman Old Style"/>
        </w:rPr>
        <w:t>r los residuos sólidos de la industria pesquera</w:t>
      </w:r>
      <w:r w:rsidRPr="00FF65F3">
        <w:rPr>
          <w:rFonts w:ascii="Bookman Old Style" w:eastAsia="Times New Roman" w:hAnsi="Bookman Old Style"/>
        </w:rPr>
        <w:t xml:space="preserve"> en fosas</w:t>
      </w:r>
      <w:r w:rsidR="008B12B7">
        <w:rPr>
          <w:rFonts w:ascii="Bookman Old Style" w:eastAsia="Times New Roman" w:hAnsi="Bookman Old Style"/>
        </w:rPr>
        <w:t xml:space="preserve"> o pozos o trincheras y su posterior encubrimiento, </w:t>
      </w:r>
      <w:r w:rsidR="002656BD">
        <w:rPr>
          <w:rFonts w:ascii="Bookman Old Style" w:eastAsia="Times New Roman" w:hAnsi="Bookman Old Style"/>
        </w:rPr>
        <w:t xml:space="preserve">y, el mismo se encuentra </w:t>
      </w:r>
      <w:r w:rsidRPr="00FF65F3">
        <w:rPr>
          <w:rFonts w:ascii="Bookman Old Style" w:eastAsia="Times New Roman" w:hAnsi="Bookman Old Style"/>
        </w:rPr>
        <w:t>localizado en un predio ubicado a 15 kilómetros de Trelew y con acceso desde Ruta 1</w:t>
      </w:r>
      <w:r w:rsidR="00BE641B" w:rsidRPr="00FF65F3">
        <w:rPr>
          <w:rFonts w:ascii="Bookman Old Style" w:eastAsia="Times New Roman" w:hAnsi="Bookman Old Style"/>
        </w:rPr>
        <w:t>.-</w:t>
      </w:r>
    </w:p>
    <w:p w:rsidR="002B547F" w:rsidRPr="00FF65F3" w:rsidRDefault="00330515"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El ingreso a tal “Centro de Disposición” o vertedero o basurero es irrestricto</w:t>
      </w:r>
      <w:r w:rsidR="002656BD">
        <w:rPr>
          <w:rFonts w:ascii="Bookman Old Style" w:eastAsia="Times New Roman" w:hAnsi="Bookman Old Style"/>
        </w:rPr>
        <w:t xml:space="preserve"> -lo que puede observarse a simple vista haciéndose presente en el lugar-,</w:t>
      </w:r>
      <w:r w:rsidRPr="00FF65F3">
        <w:rPr>
          <w:rFonts w:ascii="Bookman Old Style" w:eastAsia="Times New Roman" w:hAnsi="Bookman Old Style"/>
        </w:rPr>
        <w:t xml:space="preserve"> dado que el predio no se encuentra cercado. El procedimiento que utiliza la empresa </w:t>
      </w:r>
      <w:r w:rsidR="002656BD">
        <w:rPr>
          <w:rFonts w:ascii="Bookman Old Style" w:eastAsia="Times New Roman" w:hAnsi="Bookman Old Style"/>
        </w:rPr>
        <w:t>es</w:t>
      </w:r>
      <w:r w:rsidRPr="00FF65F3">
        <w:rPr>
          <w:rFonts w:ascii="Bookman Old Style" w:eastAsia="Times New Roman" w:hAnsi="Bookman Old Style"/>
        </w:rPr>
        <w:t xml:space="preserve"> sumamente rudimentario,</w:t>
      </w:r>
      <w:r w:rsidR="002656BD">
        <w:rPr>
          <w:rFonts w:ascii="Bookman Old Style" w:eastAsia="Times New Roman" w:hAnsi="Bookman Old Style"/>
        </w:rPr>
        <w:t xml:space="preserve"> por cuanto</w:t>
      </w:r>
      <w:r w:rsidRPr="00FF65F3">
        <w:rPr>
          <w:rFonts w:ascii="Bookman Old Style" w:eastAsia="Times New Roman" w:hAnsi="Bookman Old Style"/>
        </w:rPr>
        <w:t xml:space="preserve"> se ingresa el residuo orgánico pesquero en un pozo, trinchera o fosa y se lo tapa con tierra, con </w:t>
      </w:r>
      <w:r w:rsidR="002B547F" w:rsidRPr="00FF65F3">
        <w:rPr>
          <w:rFonts w:ascii="Bookman Old Style" w:eastAsia="Times New Roman" w:hAnsi="Bookman Old Style"/>
        </w:rPr>
        <w:t xml:space="preserve">la utilización </w:t>
      </w:r>
      <w:r w:rsidR="006568E9">
        <w:rPr>
          <w:rFonts w:ascii="Bookman Old Style" w:eastAsia="Times New Roman" w:hAnsi="Bookman Old Style"/>
        </w:rPr>
        <w:t xml:space="preserve">de </w:t>
      </w:r>
      <w:r w:rsidR="005D1238">
        <w:rPr>
          <w:rFonts w:ascii="Bookman Old Style" w:eastAsia="Times New Roman" w:hAnsi="Bookman Old Style"/>
        </w:rPr>
        <w:t>máquina</w:t>
      </w:r>
      <w:r w:rsidR="002B547F" w:rsidRPr="00FF65F3">
        <w:rPr>
          <w:rFonts w:ascii="Bookman Old Style" w:eastAsia="Times New Roman" w:hAnsi="Bookman Old Style"/>
        </w:rPr>
        <w:t xml:space="preserve"> de tipo vial (topadora).</w:t>
      </w:r>
      <w:r w:rsidR="002656BD">
        <w:rPr>
          <w:rFonts w:ascii="Bookman Old Style" w:eastAsia="Times New Roman" w:hAnsi="Bookman Old Style"/>
        </w:rPr>
        <w:t xml:space="preserve"> </w:t>
      </w:r>
      <w:r w:rsidR="002B547F" w:rsidRPr="00FF65F3">
        <w:rPr>
          <w:rFonts w:ascii="Bookman Old Style" w:eastAsia="Times New Roman" w:hAnsi="Bookman Old Style"/>
        </w:rPr>
        <w:t>No se realiza ningún tipo de tratamiento a los residuos orgánicos, simplemente se los entierra.</w:t>
      </w:r>
    </w:p>
    <w:p w:rsidR="002B547F" w:rsidRPr="00FF65F3" w:rsidRDefault="002656BD"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lastRenderedPageBreak/>
        <w:t xml:space="preserve">Tal circunstancia, </w:t>
      </w:r>
      <w:r w:rsidR="002B547F" w:rsidRPr="00FF65F3">
        <w:rPr>
          <w:rFonts w:ascii="Bookman Old Style" w:eastAsia="Times New Roman" w:hAnsi="Bookman Old Style"/>
          <w:b/>
        </w:rPr>
        <w:t>el enterramiento de Residuos Pesqueros</w:t>
      </w:r>
      <w:r>
        <w:rPr>
          <w:rFonts w:ascii="Bookman Old Style" w:eastAsia="Times New Roman" w:hAnsi="Bookman Old Style"/>
          <w:b/>
        </w:rPr>
        <w:t>,</w:t>
      </w:r>
      <w:r w:rsidR="002B547F" w:rsidRPr="00FF65F3">
        <w:rPr>
          <w:rFonts w:ascii="Bookman Old Style" w:eastAsia="Times New Roman" w:hAnsi="Bookman Old Style"/>
          <w:b/>
        </w:rPr>
        <w:t xml:space="preserve"> podría presentar un gra</w:t>
      </w:r>
      <w:r>
        <w:rPr>
          <w:rFonts w:ascii="Bookman Old Style" w:eastAsia="Times New Roman" w:hAnsi="Bookman Old Style"/>
          <w:b/>
        </w:rPr>
        <w:t>ve</w:t>
      </w:r>
      <w:r w:rsidR="002B547F" w:rsidRPr="00FF65F3">
        <w:rPr>
          <w:rFonts w:ascii="Bookman Old Style" w:eastAsia="Times New Roman" w:hAnsi="Bookman Old Style"/>
          <w:b/>
        </w:rPr>
        <w:t xml:space="preserve"> riesgo no sólo ambiental sino también para la salud humana</w:t>
      </w:r>
      <w:r w:rsidR="002B547F" w:rsidRPr="00FF65F3">
        <w:rPr>
          <w:rFonts w:ascii="Bookman Old Style" w:eastAsia="Times New Roman" w:hAnsi="Bookman Old Style"/>
        </w:rPr>
        <w:t xml:space="preserve">. </w:t>
      </w:r>
      <w:r>
        <w:rPr>
          <w:rFonts w:ascii="Bookman Old Style" w:eastAsia="Times New Roman" w:hAnsi="Bookman Old Style"/>
        </w:rPr>
        <w:t>E</w:t>
      </w:r>
      <w:r w:rsidR="002B547F" w:rsidRPr="00FF65F3">
        <w:rPr>
          <w:rFonts w:ascii="Bookman Old Style" w:eastAsia="Times New Roman" w:hAnsi="Bookman Old Style"/>
        </w:rPr>
        <w:t xml:space="preserve">sta situación representa, además del </w:t>
      </w:r>
      <w:r>
        <w:rPr>
          <w:rFonts w:ascii="Bookman Old Style" w:eastAsia="Times New Roman" w:hAnsi="Bookman Old Style"/>
        </w:rPr>
        <w:t xml:space="preserve">potencial </w:t>
      </w:r>
      <w:r w:rsidR="002B547F" w:rsidRPr="00FF65F3">
        <w:rPr>
          <w:rFonts w:ascii="Bookman Old Style" w:eastAsia="Times New Roman" w:hAnsi="Bookman Old Style"/>
        </w:rPr>
        <w:t xml:space="preserve">daño mencionado, </w:t>
      </w:r>
      <w:r w:rsidR="00FE00BD">
        <w:rPr>
          <w:rFonts w:ascii="Bookman Old Style" w:eastAsia="Times New Roman" w:hAnsi="Bookman Old Style"/>
        </w:rPr>
        <w:t xml:space="preserve">probablemente </w:t>
      </w:r>
      <w:r w:rsidR="002B547F" w:rsidRPr="00FF65F3">
        <w:rPr>
          <w:rFonts w:ascii="Bookman Old Style" w:eastAsia="Times New Roman" w:hAnsi="Bookman Old Style"/>
        </w:rPr>
        <w:t xml:space="preserve">un gran desperdicio de recursos que </w:t>
      </w:r>
      <w:r w:rsidR="002B13A4">
        <w:rPr>
          <w:rFonts w:ascii="Bookman Old Style" w:eastAsia="Times New Roman" w:hAnsi="Bookman Old Style"/>
        </w:rPr>
        <w:t xml:space="preserve">podrían </w:t>
      </w:r>
      <w:r w:rsidR="002B547F" w:rsidRPr="00FF65F3">
        <w:rPr>
          <w:rFonts w:ascii="Bookman Old Style" w:eastAsia="Times New Roman" w:hAnsi="Bookman Old Style"/>
        </w:rPr>
        <w:t>ser empleados en diversas actividades y</w:t>
      </w:r>
      <w:r w:rsidR="002B13A4">
        <w:rPr>
          <w:rFonts w:ascii="Bookman Old Style" w:eastAsia="Times New Roman" w:hAnsi="Bookman Old Style"/>
        </w:rPr>
        <w:t>, en este sentido</w:t>
      </w:r>
      <w:r w:rsidR="002B547F" w:rsidRPr="00FF65F3">
        <w:rPr>
          <w:rFonts w:ascii="Bookman Old Style" w:eastAsia="Times New Roman" w:hAnsi="Bookman Old Style"/>
        </w:rPr>
        <w:t xml:space="preserve"> bien pueden ser considerados como un subproducto.</w:t>
      </w:r>
    </w:p>
    <w:p w:rsidR="002B547F" w:rsidRPr="00FF65F3" w:rsidRDefault="005E2FCD"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 xml:space="preserve">Incluso, el </w:t>
      </w:r>
      <w:r w:rsidRPr="00FF65F3">
        <w:rPr>
          <w:rFonts w:ascii="Bookman Old Style" w:eastAsia="Times New Roman" w:hAnsi="Bookman Old Style"/>
        </w:rPr>
        <w:t>Artículo 2° de la Resolución N° 22/18-MAyCDS, publicada en el Boletín Oficial de fecha 28 de Mayo de 2018</w:t>
      </w:r>
      <w:r>
        <w:rPr>
          <w:rFonts w:ascii="Bookman Old Style" w:eastAsia="Times New Roman" w:hAnsi="Bookman Old Style"/>
        </w:rPr>
        <w:t xml:space="preserve"> subraya que l</w:t>
      </w:r>
      <w:r w:rsidR="002B547F" w:rsidRPr="00FF65F3">
        <w:rPr>
          <w:rFonts w:ascii="Bookman Old Style" w:eastAsia="Times New Roman" w:hAnsi="Bookman Old Style"/>
          <w:b/>
        </w:rPr>
        <w:t>a mencionada actividad</w:t>
      </w:r>
      <w:r w:rsidR="002B13A4">
        <w:rPr>
          <w:rFonts w:ascii="Bookman Old Style" w:eastAsia="Times New Roman" w:hAnsi="Bookman Old Style"/>
          <w:b/>
        </w:rPr>
        <w:t xml:space="preserve"> </w:t>
      </w:r>
      <w:r w:rsidR="002B547F" w:rsidRPr="00FF65F3">
        <w:rPr>
          <w:rFonts w:ascii="Bookman Old Style" w:eastAsia="Times New Roman" w:hAnsi="Bookman Old Style"/>
          <w:b/>
        </w:rPr>
        <w:t>detentaría</w:t>
      </w:r>
      <w:r w:rsidR="00F10610">
        <w:rPr>
          <w:rFonts w:ascii="Bookman Old Style" w:eastAsia="Times New Roman" w:hAnsi="Bookman Old Style"/>
          <w:b/>
        </w:rPr>
        <w:t xml:space="preserve"> otros</w:t>
      </w:r>
      <w:r w:rsidR="002B547F" w:rsidRPr="00FF65F3">
        <w:rPr>
          <w:rFonts w:ascii="Bookman Old Style" w:eastAsia="Times New Roman" w:hAnsi="Bookman Old Style"/>
          <w:b/>
        </w:rPr>
        <w:t xml:space="preserve"> impactos potenciales </w:t>
      </w:r>
      <w:r w:rsidR="002B13A4">
        <w:rPr>
          <w:rFonts w:ascii="Bookman Old Style" w:eastAsia="Times New Roman" w:hAnsi="Bookman Old Style"/>
          <w:b/>
        </w:rPr>
        <w:t xml:space="preserve">como resultado </w:t>
      </w:r>
      <w:r w:rsidR="002B547F" w:rsidRPr="00FF65F3">
        <w:rPr>
          <w:rFonts w:ascii="Bookman Old Style" w:eastAsia="Times New Roman" w:hAnsi="Bookman Old Style"/>
          <w:b/>
        </w:rPr>
        <w:t>del aporte de esta corriente residual al agua superficial o al agua subterránea, reduciendo</w:t>
      </w:r>
      <w:r w:rsidR="002B13A4">
        <w:rPr>
          <w:rFonts w:ascii="Bookman Old Style" w:eastAsia="Times New Roman" w:hAnsi="Bookman Old Style"/>
          <w:b/>
        </w:rPr>
        <w:t xml:space="preserve"> así</w:t>
      </w:r>
      <w:r w:rsidR="002B547F" w:rsidRPr="00FF65F3">
        <w:rPr>
          <w:rFonts w:ascii="Bookman Old Style" w:eastAsia="Times New Roman" w:hAnsi="Bookman Old Style"/>
          <w:b/>
        </w:rPr>
        <w:t xml:space="preserve"> los niveles de oxígeno disuelto, y la eutrofización, lo cual podría afectar de este modo a las napas freáticas, a la vida acuática y a la potabilidad del agua</w:t>
      </w:r>
      <w:r w:rsidR="002B547F" w:rsidRPr="00FF65F3">
        <w:rPr>
          <w:rFonts w:ascii="Bookman Old Style" w:eastAsia="Times New Roman" w:hAnsi="Bookman Old Style"/>
        </w:rPr>
        <w:t xml:space="preserve">. Por otro lado, </w:t>
      </w:r>
      <w:r w:rsidR="002B547F" w:rsidRPr="00FF65F3">
        <w:rPr>
          <w:rFonts w:ascii="Bookman Old Style" w:eastAsia="Times New Roman" w:hAnsi="Bookman Old Style"/>
          <w:b/>
        </w:rPr>
        <w:t xml:space="preserve">las emisiones gaseosas resultantes de la descomposición generan olores </w:t>
      </w:r>
      <w:r w:rsidR="002B13A4">
        <w:rPr>
          <w:rFonts w:ascii="Bookman Old Style" w:eastAsia="Times New Roman" w:hAnsi="Bookman Old Style"/>
          <w:b/>
        </w:rPr>
        <w:t xml:space="preserve">nauseabundos </w:t>
      </w:r>
      <w:r w:rsidR="002B547F" w:rsidRPr="00FF65F3">
        <w:rPr>
          <w:rFonts w:ascii="Bookman Old Style" w:eastAsia="Times New Roman" w:hAnsi="Bookman Old Style"/>
          <w:b/>
        </w:rPr>
        <w:t>y</w:t>
      </w:r>
      <w:r w:rsidR="002B13A4">
        <w:rPr>
          <w:rFonts w:ascii="Bookman Old Style" w:eastAsia="Times New Roman" w:hAnsi="Bookman Old Style"/>
          <w:b/>
        </w:rPr>
        <w:t>a</w:t>
      </w:r>
      <w:r w:rsidR="002B547F" w:rsidRPr="00FF65F3">
        <w:rPr>
          <w:rFonts w:ascii="Bookman Old Style" w:eastAsia="Times New Roman" w:hAnsi="Bookman Old Style"/>
          <w:b/>
        </w:rPr>
        <w:t xml:space="preserve"> que la mayoría de los contaminantes se liberan en las primeras etapas de la descomposición</w:t>
      </w:r>
      <w:r w:rsidR="002B13A4">
        <w:rPr>
          <w:rFonts w:ascii="Bookman Old Style" w:eastAsia="Times New Roman" w:hAnsi="Bookman Old Style"/>
          <w:b/>
        </w:rPr>
        <w:t>; además,</w:t>
      </w:r>
      <w:r w:rsidR="002B547F" w:rsidRPr="00FF65F3">
        <w:rPr>
          <w:rFonts w:ascii="Bookman Old Style" w:eastAsia="Times New Roman" w:hAnsi="Bookman Old Style"/>
          <w:b/>
        </w:rPr>
        <w:t xml:space="preserve"> los enterramientos masivos pueden continuar produciendo lixiviados y gases por más de 20 años</w:t>
      </w:r>
      <w:r w:rsidR="002B547F" w:rsidRPr="00FF65F3">
        <w:rPr>
          <w:rFonts w:ascii="Bookman Old Style" w:eastAsia="Times New Roman" w:hAnsi="Bookman Old Style"/>
        </w:rPr>
        <w:t>.</w:t>
      </w:r>
      <w:r>
        <w:rPr>
          <w:rFonts w:ascii="Bookman Old Style" w:eastAsia="Times New Roman" w:hAnsi="Bookman Old Style"/>
          <w:color w:val="FF0000"/>
        </w:rPr>
        <w:t xml:space="preserve"> </w:t>
      </w:r>
      <w:r>
        <w:rPr>
          <w:rFonts w:ascii="Bookman Old Style" w:eastAsia="Times New Roman" w:hAnsi="Bookman Old Style"/>
        </w:rPr>
        <w:t>También destaca que d</w:t>
      </w:r>
      <w:r w:rsidR="0049686B" w:rsidRPr="00FF65F3">
        <w:rPr>
          <w:rFonts w:ascii="Bookman Old Style" w:eastAsia="Times New Roman" w:hAnsi="Bookman Old Style"/>
        </w:rPr>
        <w:t xml:space="preserve">icha actividad </w:t>
      </w:r>
      <w:r w:rsidR="0049686B" w:rsidRPr="00FF65F3">
        <w:rPr>
          <w:rFonts w:ascii="Bookman Old Style" w:eastAsia="Times New Roman" w:hAnsi="Bookman Old Style"/>
          <w:b/>
        </w:rPr>
        <w:t>resulta degradante o susceptible</w:t>
      </w:r>
      <w:r w:rsidR="002B547F" w:rsidRPr="00FF65F3">
        <w:rPr>
          <w:rFonts w:ascii="Bookman Old Style" w:eastAsia="Times New Roman" w:hAnsi="Bookman Old Style"/>
          <w:b/>
        </w:rPr>
        <w:t xml:space="preserve"> de degradar el ambiente </w:t>
      </w:r>
      <w:r w:rsidR="0049686B" w:rsidRPr="00FF65F3">
        <w:rPr>
          <w:rFonts w:ascii="Bookman Old Style" w:eastAsia="Times New Roman" w:hAnsi="Bookman Old Style"/>
          <w:b/>
        </w:rPr>
        <w:t>dado que posibilitan</w:t>
      </w:r>
      <w:r w:rsidR="002B547F" w:rsidRPr="00FF65F3">
        <w:rPr>
          <w:rFonts w:ascii="Bookman Old Style" w:eastAsia="Times New Roman" w:hAnsi="Bookman Old Style"/>
          <w:b/>
        </w:rPr>
        <w:t>: a) el desarrollo de microorganismos patógenos</w:t>
      </w:r>
      <w:r w:rsidR="0049686B" w:rsidRPr="00FF65F3">
        <w:rPr>
          <w:rFonts w:ascii="Bookman Old Style" w:eastAsia="Times New Roman" w:hAnsi="Bookman Old Style"/>
          <w:b/>
        </w:rPr>
        <w:t>, con</w:t>
      </w:r>
      <w:r w:rsidR="002B547F" w:rsidRPr="00FF65F3">
        <w:rPr>
          <w:rFonts w:ascii="Bookman Old Style" w:eastAsia="Times New Roman" w:hAnsi="Bookman Old Style"/>
          <w:b/>
        </w:rPr>
        <w:t xml:space="preserve"> potenciales riesgos para la salud humana; b) la proliferación de  los malos olores por la descomposición de la materia orgánica; c) la alteración ambiental de los distintos cuerpos receptores (suelo, agua y aire) y d) el ambiente propicio para el desarrollo de aves, </w:t>
      </w:r>
      <w:r w:rsidR="002B13A4">
        <w:rPr>
          <w:rFonts w:ascii="Bookman Old Style" w:eastAsia="Times New Roman" w:hAnsi="Bookman Old Style"/>
          <w:b/>
        </w:rPr>
        <w:t>insectos (</w:t>
      </w:r>
      <w:r w:rsidR="002B547F" w:rsidRPr="00FF65F3">
        <w:rPr>
          <w:rFonts w:ascii="Bookman Old Style" w:eastAsia="Times New Roman" w:hAnsi="Bookman Old Style"/>
          <w:b/>
        </w:rPr>
        <w:t>moscas y mosquitos</w:t>
      </w:r>
      <w:r w:rsidR="002B13A4">
        <w:rPr>
          <w:rFonts w:ascii="Bookman Old Style" w:eastAsia="Times New Roman" w:hAnsi="Bookman Old Style"/>
          <w:b/>
        </w:rPr>
        <w:t>)</w:t>
      </w:r>
      <w:r w:rsidR="002B547F" w:rsidRPr="00FF65F3">
        <w:rPr>
          <w:rFonts w:ascii="Bookman Old Style" w:eastAsia="Times New Roman" w:hAnsi="Bookman Old Style"/>
          <w:b/>
        </w:rPr>
        <w:t>, los cuales actúan como vectores de enfe</w:t>
      </w:r>
      <w:r w:rsidR="0049686B" w:rsidRPr="00FF65F3">
        <w:rPr>
          <w:rFonts w:ascii="Bookman Old Style" w:eastAsia="Times New Roman" w:hAnsi="Bookman Old Style"/>
          <w:b/>
        </w:rPr>
        <w:t>rmedades para los seres humanos</w:t>
      </w:r>
      <w:r w:rsidR="0049686B" w:rsidRPr="00FF65F3">
        <w:rPr>
          <w:rFonts w:ascii="Bookman Old Style" w:eastAsia="Times New Roman" w:hAnsi="Bookman Old Style"/>
        </w:rPr>
        <w:t>.</w:t>
      </w:r>
    </w:p>
    <w:p w:rsidR="004146C8" w:rsidRDefault="0049686B"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 xml:space="preserve">El citado Ministerio de Ambiente y Control del Desarrollo Sustentable firmó con las Municipalidades de Puerto Madryn, Trelew y Rawson el ACTA ACUERDO DE COMPROMISO Y COLABORACIÓN – GESTIÓN DE RESIDUOS SÓLIDOS DE INDUSTRIA DE LA PESCA, con el objeto </w:t>
      </w:r>
      <w:r w:rsidR="00F10610">
        <w:rPr>
          <w:rFonts w:ascii="Bookman Old Style" w:eastAsia="Times New Roman" w:hAnsi="Bookman Old Style"/>
        </w:rPr>
        <w:t xml:space="preserve">de </w:t>
      </w:r>
      <w:r w:rsidRPr="00FF65F3">
        <w:rPr>
          <w:rFonts w:ascii="Bookman Old Style" w:eastAsia="Times New Roman" w:hAnsi="Bookman Old Style"/>
        </w:rPr>
        <w:t>pactar el establecimiento de mecanismos legales, técnicos e institucionales que determinen la PROHIBICIÓN de la disposición final de residuos de la industria pesquera en los recintos o basurales que se encuentran en cada uno de los ejidos de las mismas</w:t>
      </w:r>
      <w:r w:rsidR="004146C8" w:rsidRPr="00FF65F3">
        <w:rPr>
          <w:rFonts w:ascii="Bookman Old Style" w:eastAsia="Times New Roman" w:hAnsi="Bookman Old Style"/>
        </w:rPr>
        <w:t>.</w:t>
      </w:r>
      <w:r w:rsidRPr="00FF65F3">
        <w:rPr>
          <w:rFonts w:ascii="Bookman Old Style" w:eastAsia="Times New Roman" w:hAnsi="Bookman Old Style"/>
        </w:rPr>
        <w:t xml:space="preserve">  </w:t>
      </w:r>
      <w:r w:rsidR="002B13A4">
        <w:rPr>
          <w:rFonts w:ascii="Bookman Old Style" w:eastAsia="Times New Roman" w:hAnsi="Bookman Old Style"/>
        </w:rPr>
        <w:t xml:space="preserve">No obstante ello y, </w:t>
      </w:r>
      <w:r w:rsidRPr="00FF65F3">
        <w:rPr>
          <w:rFonts w:ascii="Bookman Old Style" w:eastAsia="Times New Roman" w:hAnsi="Bookman Old Style"/>
        </w:rPr>
        <w:t>contra</w:t>
      </w:r>
      <w:r w:rsidR="002B13A4">
        <w:rPr>
          <w:rFonts w:ascii="Bookman Old Style" w:eastAsia="Times New Roman" w:hAnsi="Bookman Old Style"/>
        </w:rPr>
        <w:t>riando la normativa vigente,</w:t>
      </w:r>
      <w:r w:rsidRPr="00FF65F3">
        <w:rPr>
          <w:rFonts w:ascii="Bookman Old Style" w:eastAsia="Times New Roman" w:hAnsi="Bookman Old Style"/>
        </w:rPr>
        <w:t xml:space="preserve"> ahora </w:t>
      </w:r>
      <w:r w:rsidR="005E2FCD">
        <w:rPr>
          <w:rFonts w:ascii="Bookman Old Style" w:eastAsia="Times New Roman" w:hAnsi="Bookman Old Style"/>
        </w:rPr>
        <w:t>resultaría ser que e</w:t>
      </w:r>
      <w:r w:rsidR="002B13A4">
        <w:rPr>
          <w:rFonts w:ascii="Bookman Old Style" w:eastAsia="Times New Roman" w:hAnsi="Bookman Old Style"/>
        </w:rPr>
        <w:t xml:space="preserve">se mismo organismo </w:t>
      </w:r>
      <w:r w:rsidR="00955217" w:rsidRPr="00FF65F3">
        <w:rPr>
          <w:rFonts w:ascii="Bookman Old Style" w:eastAsia="Times New Roman" w:hAnsi="Bookman Old Style"/>
        </w:rPr>
        <w:t>pretende</w:t>
      </w:r>
      <w:r w:rsidRPr="00FF65F3">
        <w:rPr>
          <w:rFonts w:ascii="Bookman Old Style" w:eastAsia="Times New Roman" w:hAnsi="Bookman Old Style"/>
        </w:rPr>
        <w:t xml:space="preserve"> habilitar un predio para que se realice en él lo que prohibieron los mencionados municipios</w:t>
      </w:r>
      <w:r w:rsidR="00F10610">
        <w:rPr>
          <w:rFonts w:ascii="Bookman Old Style" w:eastAsia="Times New Roman" w:hAnsi="Bookman Old Style"/>
        </w:rPr>
        <w:t xml:space="preserve">, </w:t>
      </w:r>
      <w:r w:rsidR="005E2FCD">
        <w:rPr>
          <w:rFonts w:ascii="Bookman Old Style" w:eastAsia="Times New Roman" w:hAnsi="Bookman Old Style"/>
        </w:rPr>
        <w:t xml:space="preserve">todo </w:t>
      </w:r>
      <w:r w:rsidR="00F10610">
        <w:rPr>
          <w:rFonts w:ascii="Bookman Old Style" w:eastAsia="Times New Roman" w:hAnsi="Bookman Old Style"/>
        </w:rPr>
        <w:t>ello según surge</w:t>
      </w:r>
      <w:r w:rsidR="005E2FCD">
        <w:rPr>
          <w:rFonts w:ascii="Bookman Old Style" w:eastAsia="Times New Roman" w:hAnsi="Bookman Old Style"/>
        </w:rPr>
        <w:t xml:space="preserve"> de una nota periodística de un medio digital denominado “</w:t>
      </w:r>
      <w:proofErr w:type="spellStart"/>
      <w:r w:rsidR="005E2FCD">
        <w:rPr>
          <w:rFonts w:ascii="Bookman Old Style" w:eastAsia="Times New Roman" w:hAnsi="Bookman Old Style"/>
        </w:rPr>
        <w:t>Cholila</w:t>
      </w:r>
      <w:proofErr w:type="spellEnd"/>
      <w:r w:rsidR="005E2FCD">
        <w:rPr>
          <w:rFonts w:ascii="Bookman Old Style" w:eastAsia="Times New Roman" w:hAnsi="Bookman Old Style"/>
        </w:rPr>
        <w:t xml:space="preserve"> online” donde, además, también se publica el Dictamen</w:t>
      </w:r>
      <w:r w:rsidR="00014D7D">
        <w:rPr>
          <w:rFonts w:ascii="Bookman Old Style" w:eastAsia="Times New Roman" w:hAnsi="Bookman Old Style"/>
          <w:color w:val="FF0000"/>
        </w:rPr>
        <w:t xml:space="preserve"> </w:t>
      </w:r>
      <w:r w:rsidR="00E62A82" w:rsidRPr="005E2FCD">
        <w:rPr>
          <w:rFonts w:ascii="Bookman Old Style" w:eastAsia="Times New Roman" w:hAnsi="Bookman Old Style"/>
        </w:rPr>
        <w:t>218-</w:t>
      </w:r>
      <w:r w:rsidR="00014D7D" w:rsidRPr="005E2FCD">
        <w:rPr>
          <w:rFonts w:ascii="Bookman Old Style" w:eastAsia="Times New Roman" w:hAnsi="Bookman Old Style"/>
        </w:rPr>
        <w:t>DGALyNA-</w:t>
      </w:r>
      <w:r w:rsidR="00E62A82" w:rsidRPr="005E2FCD">
        <w:rPr>
          <w:rFonts w:ascii="Bookman Old Style" w:eastAsia="Times New Roman" w:hAnsi="Bookman Old Style"/>
        </w:rPr>
        <w:t>MAyCDS</w:t>
      </w:r>
      <w:r w:rsidR="005E2FCD">
        <w:rPr>
          <w:rFonts w:ascii="Bookman Old Style" w:eastAsia="Times New Roman" w:hAnsi="Bookman Old Style"/>
        </w:rPr>
        <w:t>.</w:t>
      </w:r>
      <w:r w:rsidR="00A71B59" w:rsidRPr="00F9205E">
        <w:rPr>
          <w:rFonts w:ascii="Bookman Old Style" w:eastAsia="Times New Roman" w:hAnsi="Bookman Old Style"/>
          <w:color w:val="FF0000"/>
        </w:rPr>
        <w:t xml:space="preserve"> </w:t>
      </w:r>
      <w:r w:rsidR="005E2FCD" w:rsidRPr="00FF65F3">
        <w:rPr>
          <w:rFonts w:ascii="Bookman Old Style" w:eastAsia="Times New Roman" w:hAnsi="Bookman Old Style"/>
        </w:rPr>
        <w:t>Incumpli</w:t>
      </w:r>
      <w:r w:rsidR="005E2FCD">
        <w:rPr>
          <w:rFonts w:ascii="Bookman Old Style" w:eastAsia="Times New Roman" w:hAnsi="Bookman Old Style"/>
        </w:rPr>
        <w:t xml:space="preserve">ría </w:t>
      </w:r>
      <w:r w:rsidR="00A71B59" w:rsidRPr="00FF65F3">
        <w:rPr>
          <w:rFonts w:ascii="Bookman Old Style" w:eastAsia="Times New Roman" w:hAnsi="Bookman Old Style"/>
        </w:rPr>
        <w:t>también</w:t>
      </w:r>
      <w:r w:rsidR="005E2FCD">
        <w:rPr>
          <w:rFonts w:ascii="Bookman Old Style" w:eastAsia="Times New Roman" w:hAnsi="Bookman Old Style"/>
        </w:rPr>
        <w:t>, de este modo,</w:t>
      </w:r>
      <w:r w:rsidR="00A71B59" w:rsidRPr="00FF65F3">
        <w:rPr>
          <w:rFonts w:ascii="Bookman Old Style" w:eastAsia="Times New Roman" w:hAnsi="Bookman Old Style"/>
        </w:rPr>
        <w:t xml:space="preserve"> con </w:t>
      </w:r>
      <w:r w:rsidR="004146C8" w:rsidRPr="00FF65F3">
        <w:rPr>
          <w:rFonts w:ascii="Bookman Old Style" w:eastAsia="Times New Roman" w:hAnsi="Bookman Old Style"/>
        </w:rPr>
        <w:t xml:space="preserve">el Artículo 2° de </w:t>
      </w:r>
      <w:r w:rsidR="00A71B59" w:rsidRPr="00FF65F3">
        <w:rPr>
          <w:rFonts w:ascii="Bookman Old Style" w:eastAsia="Times New Roman" w:hAnsi="Bookman Old Style"/>
        </w:rPr>
        <w:t>la Resolución N° 22/18-MAyCDS, publicada en el Boletín Oficial de fecha 28 de Mayo de 2018, que a la fecha</w:t>
      </w:r>
      <w:r w:rsidR="004146C8" w:rsidRPr="00FF65F3">
        <w:rPr>
          <w:rFonts w:ascii="Bookman Old Style" w:eastAsia="Times New Roman" w:hAnsi="Bookman Old Style"/>
        </w:rPr>
        <w:t xml:space="preserve"> se encuentra en plena vigencia y prohíbe a partir de la fecha de la misma, la disposición final de residuos sólidos orgánicos industriales en recintos, basurales, trincheras, que se encuentren en jurisdicción provincial sean públicos privados.</w:t>
      </w:r>
    </w:p>
    <w:p w:rsidR="003E529E" w:rsidRDefault="003E529E" w:rsidP="00CD09B8">
      <w:pPr>
        <w:spacing w:after="0" w:line="360" w:lineRule="auto"/>
        <w:ind w:firstLine="2127"/>
        <w:jc w:val="both"/>
        <w:rPr>
          <w:rFonts w:ascii="Bookman Old Style" w:eastAsia="Times New Roman" w:hAnsi="Bookman Old Style"/>
        </w:rPr>
      </w:pPr>
      <w:r>
        <w:rPr>
          <w:rFonts w:ascii="Bookman Old Style" w:eastAsia="Times New Roman" w:hAnsi="Bookman Old Style"/>
        </w:rPr>
        <w:t xml:space="preserve">V.S, si bien se da por descontado su conocimiento acabado del derecho, no por ello deviene innecesario destacar -aunque sea lo específicamente pertinente- lo que la normativa vigente establece en relación a la materia que nos convoca, por cuanto seguramente aporte claridad a la exposición de los hechos que </w:t>
      </w:r>
      <w:r>
        <w:rPr>
          <w:rFonts w:ascii="Bookman Old Style" w:eastAsia="Times New Roman" w:hAnsi="Bookman Old Style"/>
        </w:rPr>
        <w:lastRenderedPageBreak/>
        <w:t>por la presente vengo a denunciar a los efectos de obtener un pronunciamiento judicial expedito y favorable al bienestar común.</w:t>
      </w:r>
    </w:p>
    <w:p w:rsidR="00CD09B8" w:rsidRPr="00FF65F3" w:rsidRDefault="0049686B" w:rsidP="00CD09B8">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 xml:space="preserve"> </w:t>
      </w:r>
      <w:r w:rsidR="00955217">
        <w:rPr>
          <w:rFonts w:ascii="Bookman Old Style" w:eastAsia="Times New Roman" w:hAnsi="Bookman Old Style"/>
        </w:rPr>
        <w:t>La</w:t>
      </w:r>
      <w:r w:rsidRPr="00FF65F3">
        <w:rPr>
          <w:rFonts w:ascii="Bookman Old Style" w:eastAsia="Times New Roman" w:hAnsi="Bookman Old Style"/>
        </w:rPr>
        <w:t xml:space="preserve"> Ley Nacional N° 25.612</w:t>
      </w:r>
      <w:r w:rsidR="00955217">
        <w:rPr>
          <w:rFonts w:ascii="Bookman Old Style" w:eastAsia="Times New Roman" w:hAnsi="Bookman Old Style"/>
        </w:rPr>
        <w:t xml:space="preserve"> </w:t>
      </w:r>
      <w:r w:rsidR="000B5768">
        <w:rPr>
          <w:rFonts w:ascii="Bookman Old Style" w:eastAsia="Times New Roman" w:hAnsi="Bookman Old Style"/>
        </w:rPr>
        <w:t xml:space="preserve">sobre gestión integral de residuos industriales y de actividades de servicios </w:t>
      </w:r>
      <w:r w:rsidR="00955217">
        <w:rPr>
          <w:rFonts w:ascii="Bookman Old Style" w:eastAsia="Times New Roman" w:hAnsi="Bookman Old Style"/>
        </w:rPr>
        <w:t>es clara cuando</w:t>
      </w:r>
      <w:r w:rsidRPr="00FF65F3">
        <w:rPr>
          <w:rFonts w:ascii="Bookman Old Style" w:eastAsia="Times New Roman" w:hAnsi="Bookman Old Style"/>
        </w:rPr>
        <w:t xml:space="preserve"> expresa que</w:t>
      </w:r>
      <w:r w:rsidR="000B5768">
        <w:rPr>
          <w:rFonts w:ascii="Bookman Old Style" w:eastAsia="Times New Roman" w:hAnsi="Bookman Old Style"/>
        </w:rPr>
        <w:t>:</w:t>
      </w:r>
      <w:r w:rsidRPr="00FF65F3">
        <w:rPr>
          <w:rFonts w:ascii="Bookman Old Style" w:eastAsia="Times New Roman" w:hAnsi="Bookman Old Style"/>
        </w:rPr>
        <w:t xml:space="preserve"> “</w:t>
      </w:r>
      <w:r w:rsidRPr="00F9205E">
        <w:rPr>
          <w:rFonts w:ascii="Bookman Old Style" w:eastAsia="Times New Roman" w:hAnsi="Bookman Old Style"/>
          <w:i/>
        </w:rPr>
        <w:t>se entiende por gestión integral de residuos industriales y de actividades de servicio al conjunto de actividades interdependientes y complementarias entre sí, que comprenden las etapas de generación, manejo, almacenamiento, transporte, tratamiento o disposición final de los mismos, y que reducen o eliminan los niveles de riesgo en cuanto a su peligrosidad, toxicidad o nocividad, según lo establezca la reglamentación, para garantizar la preservación ambiental y la calidad de vida d</w:t>
      </w:r>
      <w:r w:rsidR="00CD09B8" w:rsidRPr="00F9205E">
        <w:rPr>
          <w:rFonts w:ascii="Bookman Old Style" w:eastAsia="Times New Roman" w:hAnsi="Bookman Old Style"/>
          <w:i/>
        </w:rPr>
        <w:t>e la población</w:t>
      </w:r>
      <w:r w:rsidR="00CD09B8">
        <w:rPr>
          <w:rFonts w:ascii="Bookman Old Style" w:eastAsia="Times New Roman" w:hAnsi="Bookman Old Style"/>
        </w:rPr>
        <w:t>”</w:t>
      </w:r>
      <w:r w:rsidR="00955217">
        <w:rPr>
          <w:rFonts w:ascii="Bookman Old Style" w:eastAsia="Times New Roman" w:hAnsi="Bookman Old Style"/>
        </w:rPr>
        <w:t xml:space="preserve">, </w:t>
      </w:r>
      <w:r w:rsidR="000B5768">
        <w:rPr>
          <w:rFonts w:ascii="Bookman Old Style" w:eastAsia="Times New Roman" w:hAnsi="Bookman Old Style"/>
        </w:rPr>
        <w:t xml:space="preserve">por lo cual cabría indagar </w:t>
      </w:r>
      <w:r w:rsidR="00955217">
        <w:rPr>
          <w:rFonts w:ascii="Bookman Old Style" w:eastAsia="Times New Roman" w:hAnsi="Bookman Old Style"/>
        </w:rPr>
        <w:t>en</w:t>
      </w:r>
      <w:r w:rsidR="006F291A">
        <w:rPr>
          <w:rFonts w:ascii="Bookman Old Style" w:eastAsia="Times New Roman" w:hAnsi="Bookman Old Style"/>
        </w:rPr>
        <w:t xml:space="preserve"> el</w:t>
      </w:r>
      <w:r w:rsidR="00955217">
        <w:rPr>
          <w:rFonts w:ascii="Bookman Old Style" w:eastAsia="Times New Roman" w:hAnsi="Bookman Old Style"/>
        </w:rPr>
        <w:t xml:space="preserve"> presente caso</w:t>
      </w:r>
      <w:r w:rsidR="000B5768">
        <w:rPr>
          <w:rFonts w:ascii="Bookman Old Style" w:eastAsia="Times New Roman" w:hAnsi="Bookman Old Style"/>
        </w:rPr>
        <w:t xml:space="preserve"> si</w:t>
      </w:r>
      <w:r w:rsidR="00955217">
        <w:rPr>
          <w:rFonts w:ascii="Bookman Old Style" w:eastAsia="Times New Roman" w:hAnsi="Bookman Old Style"/>
        </w:rPr>
        <w:t xml:space="preserve"> estamos ante una </w:t>
      </w:r>
      <w:r w:rsidR="006F291A">
        <w:rPr>
          <w:rFonts w:ascii="Bookman Old Style" w:eastAsia="Times New Roman" w:hAnsi="Bookman Old Style"/>
        </w:rPr>
        <w:t xml:space="preserve">adecuada </w:t>
      </w:r>
      <w:r w:rsidR="00955217">
        <w:rPr>
          <w:rFonts w:ascii="Bookman Old Style" w:eastAsia="Times New Roman" w:hAnsi="Bookman Old Style"/>
        </w:rPr>
        <w:t>gestión integral de residuos de conformidad con lo prescripto en esta ley</w:t>
      </w:r>
      <w:r w:rsidR="006F291A">
        <w:rPr>
          <w:rFonts w:ascii="Bookman Old Style" w:eastAsia="Times New Roman" w:hAnsi="Bookman Old Style"/>
        </w:rPr>
        <w:t>;</w:t>
      </w:r>
      <w:r w:rsidR="00CD09B8">
        <w:rPr>
          <w:rFonts w:ascii="Bookman Old Style" w:eastAsia="Times New Roman" w:hAnsi="Bookman Old Style"/>
        </w:rPr>
        <w:t xml:space="preserve"> el Artículo 4° </w:t>
      </w:r>
      <w:r w:rsidR="006F291A">
        <w:rPr>
          <w:rFonts w:ascii="Bookman Old Style" w:eastAsia="Times New Roman" w:hAnsi="Bookman Old Style"/>
        </w:rPr>
        <w:t>de la misma normativa</w:t>
      </w:r>
      <w:r w:rsidR="00CD09B8">
        <w:rPr>
          <w:rFonts w:ascii="Bookman Old Style" w:eastAsia="Times New Roman" w:hAnsi="Bookman Old Style"/>
        </w:rPr>
        <w:t xml:space="preserve"> expresa</w:t>
      </w:r>
      <w:r w:rsidR="006F291A">
        <w:rPr>
          <w:rFonts w:ascii="Bookman Old Style" w:eastAsia="Times New Roman" w:hAnsi="Bookman Old Style"/>
        </w:rPr>
        <w:t xml:space="preserve"> que</w:t>
      </w:r>
      <w:r w:rsidR="00CD09B8">
        <w:rPr>
          <w:rFonts w:ascii="Bookman Old Style" w:eastAsia="Times New Roman" w:hAnsi="Bookman Old Style"/>
        </w:rPr>
        <w:t xml:space="preserve"> “</w:t>
      </w:r>
      <w:r w:rsidR="00CD09B8" w:rsidRPr="00F9205E">
        <w:rPr>
          <w:rFonts w:ascii="Bookman Old Style" w:eastAsia="Times New Roman" w:hAnsi="Bookman Old Style"/>
          <w:i/>
        </w:rPr>
        <w:t xml:space="preserve">Los objetivos de la presente ley son los siguientes: </w:t>
      </w:r>
      <w:r w:rsidR="00CD09B8" w:rsidRPr="00F9205E">
        <w:rPr>
          <w:rFonts w:ascii="Bookman Old Style" w:eastAsia="Times New Roman" w:hAnsi="Bookman Old Style"/>
          <w:b/>
          <w:i/>
        </w:rPr>
        <w:t>a) Garantizar la preservación ambiental, la protección de los recursos naturales, la calidad de vida de la población, la conservación de la biodiversidad, y el equilibrio de los ecosistemas; b) Minimizar los riesgos potenciales de los residuos en todas las etapas de la gestión integral; c) Reducir la cantidad de los residuos que se generan; d) Promover la utilización y transferencia de tecnologías limpias y adecuadas para la preservación ambiental y el desarrollo sustentable; e) Promover la cesación de los vertidos riesgosos para el ambiente</w:t>
      </w:r>
      <w:r w:rsidR="00CD09B8" w:rsidRPr="00F9205E">
        <w:rPr>
          <w:rFonts w:ascii="Bookman Old Style" w:eastAsia="Times New Roman" w:hAnsi="Bookman Old Style"/>
          <w:i/>
        </w:rPr>
        <w:t>.</w:t>
      </w:r>
      <w:r w:rsidR="00CD09B8" w:rsidRPr="00CD09B8">
        <w:rPr>
          <w:rFonts w:ascii="Bookman Old Style" w:eastAsia="Times New Roman" w:hAnsi="Bookman Old Style"/>
        </w:rPr>
        <w:t>”</w:t>
      </w:r>
      <w:r w:rsidR="006F291A">
        <w:rPr>
          <w:rFonts w:ascii="Bookman Old Style" w:eastAsia="Times New Roman" w:hAnsi="Bookman Old Style"/>
        </w:rPr>
        <w:t xml:space="preserve">, </w:t>
      </w:r>
      <w:r w:rsidR="000B5768">
        <w:rPr>
          <w:rFonts w:ascii="Bookman Old Style" w:eastAsia="Times New Roman" w:hAnsi="Bookman Old Style"/>
        </w:rPr>
        <w:t xml:space="preserve">ahora bien </w:t>
      </w:r>
      <w:r w:rsidR="00557980">
        <w:rPr>
          <w:rFonts w:ascii="Bookman Old Style" w:eastAsia="Times New Roman" w:hAnsi="Bookman Old Style"/>
        </w:rPr>
        <w:t xml:space="preserve">¿Qué medidas se han adoptado </w:t>
      </w:r>
      <w:r w:rsidR="006F291A">
        <w:rPr>
          <w:rFonts w:ascii="Bookman Old Style" w:eastAsia="Times New Roman" w:hAnsi="Bookman Old Style"/>
        </w:rPr>
        <w:t>desde la autoridad de aplicación</w:t>
      </w:r>
      <w:r w:rsidR="00557980">
        <w:rPr>
          <w:rFonts w:ascii="Bookman Old Style" w:eastAsia="Times New Roman" w:hAnsi="Bookman Old Style"/>
        </w:rPr>
        <w:t xml:space="preserve"> en ese sentido? Tal inquietud resulta pertinente toda vez que el </w:t>
      </w:r>
      <w:r w:rsidR="00CD09B8">
        <w:rPr>
          <w:rFonts w:ascii="Bookman Old Style" w:eastAsia="Times New Roman" w:hAnsi="Bookman Old Style"/>
        </w:rPr>
        <w:t>Artículo 8°</w:t>
      </w:r>
      <w:r w:rsidR="00557980">
        <w:rPr>
          <w:rFonts w:ascii="Bookman Old Style" w:eastAsia="Times New Roman" w:hAnsi="Bookman Old Style"/>
        </w:rPr>
        <w:t xml:space="preserve"> de la misma ley establece</w:t>
      </w:r>
      <w:r w:rsidR="00CD09B8">
        <w:rPr>
          <w:rFonts w:ascii="Bookman Old Style" w:eastAsia="Times New Roman" w:hAnsi="Bookman Old Style"/>
        </w:rPr>
        <w:t xml:space="preserve"> “</w:t>
      </w:r>
      <w:r w:rsidR="00CD09B8" w:rsidRPr="00F9205E">
        <w:rPr>
          <w:rFonts w:ascii="Bookman Old Style" w:eastAsia="Times New Roman" w:hAnsi="Bookman Old Style"/>
          <w:b/>
          <w:i/>
        </w:rPr>
        <w:t>Las autoridades provinciales</w:t>
      </w:r>
      <w:r w:rsidR="00CD09B8" w:rsidRPr="00F9205E">
        <w:rPr>
          <w:rFonts w:ascii="Bookman Old Style" w:eastAsia="Times New Roman" w:hAnsi="Bookman Old Style"/>
          <w:i/>
        </w:rPr>
        <w:t xml:space="preserve"> y de la Ciudad Autónoma de Buenos Aires, </w:t>
      </w:r>
      <w:r w:rsidR="00CD09B8" w:rsidRPr="00F9205E">
        <w:rPr>
          <w:rFonts w:ascii="Bookman Old Style" w:eastAsia="Times New Roman" w:hAnsi="Bookman Old Style"/>
          <w:b/>
          <w:i/>
        </w:rPr>
        <w:t>responsables del control y fiscalización de la gestión integral de los residuos alcanzados por la presente</w:t>
      </w:r>
      <w:r w:rsidR="00CD09B8" w:rsidRPr="00F9205E">
        <w:rPr>
          <w:rFonts w:ascii="Bookman Old Style" w:eastAsia="Times New Roman" w:hAnsi="Bookman Old Style"/>
          <w:i/>
        </w:rPr>
        <w:t>, deberán identificar a los generadores y caracterizar los residuos que producen y clasificarlos, como mínimo, en tres categorías según sus niveles de riesgo bajo, medio y alto</w:t>
      </w:r>
      <w:r w:rsidR="00CD09B8">
        <w:rPr>
          <w:rFonts w:ascii="Bookman Old Style" w:eastAsia="Times New Roman" w:hAnsi="Bookman Old Style"/>
        </w:rPr>
        <w:t>”</w:t>
      </w:r>
      <w:r w:rsidR="00E2732E">
        <w:rPr>
          <w:rFonts w:ascii="Bookman Old Style" w:eastAsia="Times New Roman" w:hAnsi="Bookman Old Style"/>
        </w:rPr>
        <w:t>, sin embargo, resulta</w:t>
      </w:r>
      <w:r w:rsidR="00C23A76">
        <w:rPr>
          <w:rFonts w:ascii="Bookman Old Style" w:eastAsia="Times New Roman" w:hAnsi="Bookman Old Style"/>
        </w:rPr>
        <w:t xml:space="preserve"> de público conocimiento que, justamente desde el Ministerio pareciera ser que se están tomando medidas alejadas y ajenas a la responsabilidad de control y fiscalización que le fija la ley en esta norma</w:t>
      </w:r>
      <w:r w:rsidR="00CD09B8">
        <w:rPr>
          <w:rFonts w:ascii="Bookman Old Style" w:eastAsia="Times New Roman" w:hAnsi="Bookman Old Style"/>
        </w:rPr>
        <w:t>;</w:t>
      </w:r>
      <w:r w:rsidR="00557980">
        <w:rPr>
          <w:rFonts w:ascii="Bookman Old Style" w:eastAsia="Times New Roman" w:hAnsi="Bookman Old Style"/>
        </w:rPr>
        <w:t xml:space="preserve"> </w:t>
      </w:r>
      <w:r w:rsidR="000B5768">
        <w:rPr>
          <w:rFonts w:ascii="Bookman Old Style" w:eastAsia="Times New Roman" w:hAnsi="Bookman Old Style"/>
        </w:rPr>
        <w:t xml:space="preserve">en relación a la responsabilidad </w:t>
      </w:r>
      <w:r w:rsidR="00557980">
        <w:rPr>
          <w:rFonts w:ascii="Bookman Old Style" w:eastAsia="Times New Roman" w:hAnsi="Bookman Old Style"/>
        </w:rPr>
        <w:t>también es clara la ley en</w:t>
      </w:r>
      <w:r w:rsidRPr="00CD09B8">
        <w:rPr>
          <w:rFonts w:ascii="Bookman Old Style" w:eastAsia="Times New Roman" w:hAnsi="Bookman Old Style"/>
          <w:b/>
        </w:rPr>
        <w:t xml:space="preserve"> </w:t>
      </w:r>
      <w:r w:rsidR="00F9205E">
        <w:rPr>
          <w:rFonts w:ascii="Bookman Old Style" w:eastAsia="Times New Roman" w:hAnsi="Bookman Old Style"/>
        </w:rPr>
        <w:t>su</w:t>
      </w:r>
      <w:r w:rsidRPr="00CD09B8">
        <w:rPr>
          <w:rFonts w:ascii="Bookman Old Style" w:eastAsia="Times New Roman" w:hAnsi="Bookman Old Style"/>
        </w:rPr>
        <w:t xml:space="preserve"> Artículo 10° </w:t>
      </w:r>
      <w:r w:rsidR="00373895">
        <w:rPr>
          <w:rFonts w:ascii="Bookman Old Style" w:eastAsia="Times New Roman" w:hAnsi="Bookman Old Style"/>
        </w:rPr>
        <w:t xml:space="preserve">cuando </w:t>
      </w:r>
      <w:r w:rsidRPr="00CD09B8">
        <w:rPr>
          <w:rFonts w:ascii="Bookman Old Style" w:eastAsia="Times New Roman" w:hAnsi="Bookman Old Style"/>
        </w:rPr>
        <w:t xml:space="preserve">expresa que </w:t>
      </w:r>
      <w:r w:rsidRPr="00CD09B8">
        <w:rPr>
          <w:rFonts w:ascii="Bookman Old Style" w:eastAsia="Times New Roman" w:hAnsi="Bookman Old Style"/>
          <w:b/>
        </w:rPr>
        <w:t>“</w:t>
      </w:r>
      <w:r w:rsidRPr="00F9205E">
        <w:rPr>
          <w:rFonts w:ascii="Bookman Old Style" w:eastAsia="Times New Roman" w:hAnsi="Bookman Old Style"/>
          <w:b/>
          <w:i/>
        </w:rPr>
        <w:t>la responsabilidad del tratamiento adecuado y la disposición final de los residuos industriales es del generador</w:t>
      </w:r>
      <w:r w:rsidRPr="00CD09B8">
        <w:rPr>
          <w:rFonts w:ascii="Bookman Old Style" w:eastAsia="Times New Roman" w:hAnsi="Bookman Old Style"/>
          <w:b/>
        </w:rPr>
        <w:t>”</w:t>
      </w:r>
      <w:r w:rsidR="00373895">
        <w:rPr>
          <w:rFonts w:ascii="Bookman Old Style" w:eastAsia="Times New Roman" w:hAnsi="Bookman Old Style"/>
          <w:b/>
        </w:rPr>
        <w:t>,</w:t>
      </w:r>
      <w:r w:rsidR="00373895">
        <w:rPr>
          <w:rFonts w:ascii="Bookman Old Style" w:eastAsia="Times New Roman" w:hAnsi="Bookman Old Style"/>
        </w:rPr>
        <w:t xml:space="preserve"> </w:t>
      </w:r>
      <w:r w:rsidR="00E2732E">
        <w:rPr>
          <w:rFonts w:ascii="Bookman Old Style" w:eastAsia="Times New Roman" w:hAnsi="Bookman Old Style"/>
        </w:rPr>
        <w:t xml:space="preserve">el cual </w:t>
      </w:r>
      <w:r w:rsidR="009C6F3E">
        <w:rPr>
          <w:rFonts w:ascii="Bookman Old Style" w:eastAsia="Times New Roman" w:hAnsi="Bookman Old Style"/>
        </w:rPr>
        <w:t>es, además,</w:t>
      </w:r>
      <w:r w:rsidR="00373895">
        <w:rPr>
          <w:rFonts w:ascii="Bookman Old Style" w:eastAsia="Times New Roman" w:hAnsi="Bookman Old Style"/>
        </w:rPr>
        <w:t xml:space="preserve"> eventua</w:t>
      </w:r>
      <w:r w:rsidR="00C23A76">
        <w:rPr>
          <w:rFonts w:ascii="Bookman Old Style" w:eastAsia="Times New Roman" w:hAnsi="Bookman Old Style"/>
        </w:rPr>
        <w:t>lmente y en todo caso</w:t>
      </w:r>
      <w:r w:rsidR="00E2732E">
        <w:rPr>
          <w:rFonts w:ascii="Bookman Old Style" w:eastAsia="Times New Roman" w:hAnsi="Bookman Old Style"/>
        </w:rPr>
        <w:t>,</w:t>
      </w:r>
      <w:r w:rsidR="00C23A76">
        <w:rPr>
          <w:rFonts w:ascii="Bookman Old Style" w:eastAsia="Times New Roman" w:hAnsi="Bookman Old Style"/>
        </w:rPr>
        <w:t xml:space="preserve"> </w:t>
      </w:r>
      <w:r w:rsidR="008839E4">
        <w:rPr>
          <w:rFonts w:ascii="Bookman Old Style" w:eastAsia="Times New Roman" w:hAnsi="Bookman Old Style"/>
        </w:rPr>
        <w:t xml:space="preserve">contra quien </w:t>
      </w:r>
      <w:r w:rsidR="00C23A76">
        <w:rPr>
          <w:rFonts w:ascii="Bookman Old Style" w:eastAsia="Times New Roman" w:hAnsi="Bookman Old Style"/>
        </w:rPr>
        <w:t>s</w:t>
      </w:r>
      <w:r w:rsidR="00373895">
        <w:rPr>
          <w:rFonts w:ascii="Bookman Old Style" w:eastAsia="Times New Roman" w:hAnsi="Bookman Old Style"/>
        </w:rPr>
        <w:t>e podría demandar</w:t>
      </w:r>
      <w:r w:rsidR="009C6F3E">
        <w:rPr>
          <w:rFonts w:ascii="Bookman Old Style" w:eastAsia="Times New Roman" w:hAnsi="Bookman Old Style"/>
        </w:rPr>
        <w:t xml:space="preserve"> la</w:t>
      </w:r>
      <w:r w:rsidR="00373895">
        <w:rPr>
          <w:rFonts w:ascii="Bookman Old Style" w:eastAsia="Times New Roman" w:hAnsi="Bookman Old Style"/>
        </w:rPr>
        <w:t xml:space="preserve"> recomposición</w:t>
      </w:r>
      <w:r w:rsidR="00C23A76">
        <w:rPr>
          <w:rFonts w:ascii="Bookman Old Style" w:eastAsia="Times New Roman" w:hAnsi="Bookman Old Style"/>
        </w:rPr>
        <w:t xml:space="preserve"> y/o indemnización</w:t>
      </w:r>
      <w:r w:rsidR="00373895">
        <w:rPr>
          <w:rFonts w:ascii="Bookman Old Style" w:eastAsia="Times New Roman" w:hAnsi="Bookman Old Style"/>
        </w:rPr>
        <w:t xml:space="preserve"> por daño ambiental</w:t>
      </w:r>
      <w:r w:rsidR="009C6F3E">
        <w:rPr>
          <w:rFonts w:ascii="Bookman Old Style" w:eastAsia="Times New Roman" w:hAnsi="Bookman Old Style"/>
        </w:rPr>
        <w:t>. F</w:t>
      </w:r>
      <w:r w:rsidR="00373895">
        <w:rPr>
          <w:rFonts w:ascii="Bookman Old Style" w:eastAsia="Times New Roman" w:hAnsi="Bookman Old Style"/>
        </w:rPr>
        <w:t>inalmente</w:t>
      </w:r>
      <w:r w:rsidR="009C6F3E">
        <w:rPr>
          <w:rFonts w:ascii="Bookman Old Style" w:eastAsia="Times New Roman" w:hAnsi="Bookman Old Style"/>
        </w:rPr>
        <w:t xml:space="preserve"> -</w:t>
      </w:r>
      <w:r w:rsidR="000B5768">
        <w:rPr>
          <w:rFonts w:ascii="Bookman Old Style" w:eastAsia="Times New Roman" w:hAnsi="Bookman Old Style"/>
        </w:rPr>
        <w:t>pero no por ello menos importante sino</w:t>
      </w:r>
      <w:r w:rsidR="008839E4">
        <w:rPr>
          <w:rFonts w:ascii="Bookman Old Style" w:eastAsia="Times New Roman" w:hAnsi="Bookman Old Style"/>
        </w:rPr>
        <w:t>,</w:t>
      </w:r>
      <w:r w:rsidR="000B5768">
        <w:rPr>
          <w:rFonts w:ascii="Bookman Old Style" w:eastAsia="Times New Roman" w:hAnsi="Bookman Old Style"/>
        </w:rPr>
        <w:t xml:space="preserve"> todo lo contrar</w:t>
      </w:r>
      <w:r w:rsidR="009C6F3E">
        <w:rPr>
          <w:rFonts w:ascii="Bookman Old Style" w:eastAsia="Times New Roman" w:hAnsi="Bookman Old Style"/>
        </w:rPr>
        <w:t>io</w:t>
      </w:r>
      <w:r w:rsidR="008839E4">
        <w:rPr>
          <w:rFonts w:ascii="Bookman Old Style" w:eastAsia="Times New Roman" w:hAnsi="Bookman Old Style"/>
        </w:rPr>
        <w:t>,</w:t>
      </w:r>
      <w:r w:rsidR="009C6F3E">
        <w:rPr>
          <w:rFonts w:ascii="Bookman Old Style" w:eastAsia="Times New Roman" w:hAnsi="Bookman Old Style"/>
        </w:rPr>
        <w:t xml:space="preserve"> por cuanto el conocimiento de su ausencia es justamente lo que motiva la presente acción de quien suscribe-</w:t>
      </w:r>
      <w:r w:rsidR="000B5768">
        <w:rPr>
          <w:rFonts w:ascii="Bookman Old Style" w:eastAsia="Times New Roman" w:hAnsi="Bookman Old Style"/>
        </w:rPr>
        <w:t xml:space="preserve">, en relación al estudio de impacto ambiental </w:t>
      </w:r>
      <w:r w:rsidR="008839E4">
        <w:rPr>
          <w:rFonts w:ascii="Bookman Old Style" w:eastAsia="Times New Roman" w:hAnsi="Bookman Old Style"/>
        </w:rPr>
        <w:t xml:space="preserve">(EIA) </w:t>
      </w:r>
      <w:r w:rsidR="000B5768">
        <w:rPr>
          <w:rFonts w:ascii="Bookman Old Style" w:eastAsia="Times New Roman" w:hAnsi="Bookman Old Style"/>
        </w:rPr>
        <w:t xml:space="preserve">como requisito </w:t>
      </w:r>
      <w:r w:rsidR="009C6F3E">
        <w:rPr>
          <w:rFonts w:ascii="Bookman Old Style" w:eastAsia="Times New Roman" w:hAnsi="Bookman Old Style"/>
        </w:rPr>
        <w:t xml:space="preserve">previo </w:t>
      </w:r>
      <w:r w:rsidR="000B5768">
        <w:rPr>
          <w:rFonts w:ascii="Bookman Old Style" w:eastAsia="Times New Roman" w:hAnsi="Bookman Old Style"/>
        </w:rPr>
        <w:t xml:space="preserve">o </w:t>
      </w:r>
      <w:r w:rsidR="009C6F3E">
        <w:rPr>
          <w:rFonts w:ascii="Bookman Old Style" w:eastAsia="Times New Roman" w:hAnsi="Bookman Old Style"/>
        </w:rPr>
        <w:t xml:space="preserve">como </w:t>
      </w:r>
      <w:r w:rsidR="000B5768">
        <w:rPr>
          <w:rFonts w:ascii="Bookman Old Style" w:eastAsia="Times New Roman" w:hAnsi="Bookman Old Style"/>
        </w:rPr>
        <w:t>condición sine qua non para desarrollar un emprendimiento d</w:t>
      </w:r>
      <w:r w:rsidR="00F9205E">
        <w:rPr>
          <w:rFonts w:ascii="Bookman Old Style" w:eastAsia="Times New Roman" w:hAnsi="Bookman Old Style"/>
        </w:rPr>
        <w:t xml:space="preserve">e disposición final de residuos </w:t>
      </w:r>
      <w:r w:rsidR="009C6F3E">
        <w:rPr>
          <w:rFonts w:ascii="Bookman Old Style" w:eastAsia="Times New Roman" w:hAnsi="Bookman Old Style"/>
        </w:rPr>
        <w:t xml:space="preserve">la legislación es clara, </w:t>
      </w:r>
      <w:r w:rsidR="00373895">
        <w:rPr>
          <w:rFonts w:ascii="Bookman Old Style" w:eastAsia="Times New Roman" w:hAnsi="Bookman Old Style"/>
        </w:rPr>
        <w:t xml:space="preserve">en concordancia con los artículos 8º y 11º de la Ley 25.675 y el </w:t>
      </w:r>
      <w:r w:rsidR="000B5768">
        <w:rPr>
          <w:rFonts w:ascii="Bookman Old Style" w:eastAsia="Times New Roman" w:hAnsi="Bookman Old Style"/>
        </w:rPr>
        <w:t>artículo</w:t>
      </w:r>
      <w:r w:rsidR="00373895">
        <w:rPr>
          <w:rFonts w:ascii="Bookman Old Style" w:eastAsia="Times New Roman" w:hAnsi="Bookman Old Style"/>
        </w:rPr>
        <w:t xml:space="preserve"> 30º de la Ley provincial XI N.35, </w:t>
      </w:r>
      <w:r w:rsidR="00CD09B8">
        <w:rPr>
          <w:rFonts w:ascii="Bookman Old Style" w:eastAsia="Times New Roman" w:hAnsi="Bookman Old Style"/>
        </w:rPr>
        <w:t xml:space="preserve">el </w:t>
      </w:r>
      <w:r w:rsidR="00CD09B8" w:rsidRPr="00CD09B8">
        <w:rPr>
          <w:rFonts w:ascii="Bookman Old Style" w:eastAsia="Times New Roman" w:hAnsi="Bookman Old Style"/>
        </w:rPr>
        <w:t>A</w:t>
      </w:r>
      <w:r w:rsidR="00CD09B8">
        <w:rPr>
          <w:rFonts w:ascii="Bookman Old Style" w:eastAsia="Times New Roman" w:hAnsi="Bookman Old Style"/>
        </w:rPr>
        <w:t>rtículo</w:t>
      </w:r>
      <w:r w:rsidR="00CD09B8" w:rsidRPr="00CD09B8">
        <w:rPr>
          <w:rFonts w:ascii="Bookman Old Style" w:eastAsia="Times New Roman" w:hAnsi="Bookman Old Style"/>
        </w:rPr>
        <w:t xml:space="preserve"> 32</w:t>
      </w:r>
      <w:r w:rsidR="00CD09B8">
        <w:rPr>
          <w:rFonts w:ascii="Bookman Old Style" w:eastAsia="Times New Roman" w:hAnsi="Bookman Old Style"/>
        </w:rPr>
        <w:t xml:space="preserve">° </w:t>
      </w:r>
      <w:r w:rsidR="000B5768">
        <w:rPr>
          <w:rFonts w:ascii="Bookman Old Style" w:eastAsia="Times New Roman" w:hAnsi="Bookman Old Style"/>
        </w:rPr>
        <w:t xml:space="preserve">de la 25.612 </w:t>
      </w:r>
      <w:r w:rsidR="00CD09B8">
        <w:rPr>
          <w:rFonts w:ascii="Bookman Old Style" w:eastAsia="Times New Roman" w:hAnsi="Bookman Old Style"/>
        </w:rPr>
        <w:t>textualmente expresa “</w:t>
      </w:r>
      <w:r w:rsidR="00CD09B8" w:rsidRPr="00F9205E">
        <w:rPr>
          <w:rFonts w:ascii="Bookman Old Style" w:eastAsia="Times New Roman" w:hAnsi="Bookman Old Style"/>
          <w:b/>
          <w:i/>
        </w:rPr>
        <w:t>Toda planta de almacenamiento, tratamiento o disposición final de residuos, previo a su habilitación, deberá realizar un estudio de impacto ambiental, el cual deberá ser presentado ante la autoridad competente, que emitirá una declaración de impacto ambiental</w:t>
      </w:r>
      <w:r w:rsidR="00CD09B8" w:rsidRPr="00F9205E">
        <w:rPr>
          <w:rFonts w:ascii="Bookman Old Style" w:eastAsia="Times New Roman" w:hAnsi="Bookman Old Style"/>
          <w:i/>
        </w:rPr>
        <w:t xml:space="preserve"> en la que fundamente su aprobación o rechazo. La reglamentación determinará los requisitos mínimos y comunes que deberá contener dicho estudio</w:t>
      </w:r>
      <w:r w:rsidR="00CD09B8" w:rsidRPr="00CD09B8">
        <w:rPr>
          <w:rFonts w:ascii="Bookman Old Style" w:eastAsia="Times New Roman" w:hAnsi="Bookman Old Style"/>
        </w:rPr>
        <w:t>.</w:t>
      </w:r>
      <w:r w:rsidR="00CD09B8">
        <w:rPr>
          <w:rFonts w:ascii="Bookman Old Style" w:eastAsia="Times New Roman" w:hAnsi="Bookman Old Style"/>
        </w:rPr>
        <w:t xml:space="preserve">” </w:t>
      </w:r>
    </w:p>
    <w:p w:rsidR="00136E1D" w:rsidRDefault="008839E4" w:rsidP="00136E1D">
      <w:pPr>
        <w:spacing w:after="0" w:line="360" w:lineRule="auto"/>
        <w:ind w:firstLine="2127"/>
        <w:jc w:val="both"/>
        <w:rPr>
          <w:rFonts w:ascii="Bookman Old Style" w:eastAsia="Times New Roman" w:hAnsi="Bookman Old Style"/>
        </w:rPr>
      </w:pPr>
      <w:r>
        <w:rPr>
          <w:rFonts w:ascii="Bookman Old Style" w:eastAsia="Times New Roman" w:hAnsi="Bookman Old Style"/>
        </w:rPr>
        <w:t>Particularmente</w:t>
      </w:r>
      <w:r w:rsidR="0049686B" w:rsidRPr="00FF65F3">
        <w:rPr>
          <w:rFonts w:ascii="Bookman Old Style" w:eastAsia="Times New Roman" w:hAnsi="Bookman Old Style"/>
        </w:rPr>
        <w:t xml:space="preserve">, el Artículo 11° de la Ley Nacional N° 25.675 expresa que </w:t>
      </w:r>
      <w:r w:rsidR="00114924">
        <w:rPr>
          <w:rFonts w:ascii="Bookman Old Style" w:eastAsia="Times New Roman" w:hAnsi="Bookman Old Style"/>
        </w:rPr>
        <w:t>“</w:t>
      </w:r>
      <w:r w:rsidR="0049686B" w:rsidRPr="00F9205E">
        <w:rPr>
          <w:rFonts w:ascii="Bookman Old Style" w:eastAsia="Times New Roman" w:hAnsi="Bookman Old Style"/>
          <w:i/>
        </w:rPr>
        <w:t>toda obra o actividad que, en el territorio de la Nación, sea susceptible de degradar el ambiente, alguno de sus componentes, o afectar la calidad de vida de la población, en forma significativa, estará sujeta a un procedimiento de evaluación de impacto ambiental,</w:t>
      </w:r>
      <w:r w:rsidR="0049686B" w:rsidRPr="00F9205E">
        <w:rPr>
          <w:rFonts w:ascii="Bookman Old Style" w:eastAsia="Times New Roman" w:hAnsi="Bookman Old Style"/>
          <w:b/>
          <w:i/>
        </w:rPr>
        <w:t xml:space="preserve"> previo a su ejecución</w:t>
      </w:r>
      <w:r w:rsidR="00114924">
        <w:rPr>
          <w:rFonts w:ascii="Bookman Old Style" w:eastAsia="Times New Roman" w:hAnsi="Bookman Old Style"/>
          <w:b/>
        </w:rPr>
        <w:t>”</w:t>
      </w:r>
      <w:r w:rsidR="00AF413C">
        <w:rPr>
          <w:rFonts w:ascii="Bookman Old Style" w:eastAsia="Times New Roman" w:hAnsi="Bookman Old Style"/>
        </w:rPr>
        <w:t xml:space="preserve">. </w:t>
      </w:r>
      <w:r w:rsidR="00136E1D">
        <w:rPr>
          <w:rFonts w:ascii="Bookman Old Style" w:eastAsia="Times New Roman" w:hAnsi="Bookman Old Style"/>
        </w:rPr>
        <w:t>Por su parte, el Artículo 12° expresa “</w:t>
      </w:r>
      <w:r w:rsidR="00136E1D" w:rsidRPr="00F9205E">
        <w:rPr>
          <w:rFonts w:ascii="Bookman Old Style" w:eastAsia="Times New Roman" w:hAnsi="Bookman Old Style"/>
          <w:i/>
        </w:rPr>
        <w:t xml:space="preserve">Las personas físicas o jurídicas </w:t>
      </w:r>
      <w:r w:rsidR="00136E1D" w:rsidRPr="00F9205E">
        <w:rPr>
          <w:rFonts w:ascii="Bookman Old Style" w:eastAsia="Times New Roman" w:hAnsi="Bookman Old Style"/>
          <w:b/>
          <w:i/>
        </w:rPr>
        <w:t>darán inicio al procedimiento con la presentación de una declaración jurada, en la que se manifieste si las obras o actividades afectarán el ambiente</w:t>
      </w:r>
      <w:r w:rsidR="00136E1D" w:rsidRPr="00F9205E">
        <w:rPr>
          <w:rFonts w:ascii="Bookman Old Style" w:eastAsia="Times New Roman" w:hAnsi="Bookman Old Style"/>
          <w:i/>
        </w:rPr>
        <w:t>. Las autoridades competentes determinarán la presentación de un estudio de impacto ambiental, cuyos requerimientos estarán detallados en ley particular y, en consecuencia, deberán realizar una evaluación de impacto ambiental y emitir una declaración de impacto ambiental en la que se manifieste la aprobación o rechazo de los estudios presentados</w:t>
      </w:r>
      <w:r w:rsidR="00136E1D" w:rsidRPr="00136E1D">
        <w:rPr>
          <w:rFonts w:ascii="Bookman Old Style" w:eastAsia="Times New Roman" w:hAnsi="Bookman Old Style"/>
        </w:rPr>
        <w:t>.</w:t>
      </w:r>
      <w:r w:rsidR="00136E1D">
        <w:rPr>
          <w:rFonts w:ascii="Bookman Old Style" w:eastAsia="Times New Roman" w:hAnsi="Bookman Old Style"/>
        </w:rPr>
        <w:t>”</w:t>
      </w:r>
      <w:r w:rsidR="00114924">
        <w:rPr>
          <w:rFonts w:ascii="Bookman Old Style" w:eastAsia="Times New Roman" w:hAnsi="Bookman Old Style"/>
        </w:rPr>
        <w:t xml:space="preserve"> Asimismo, en cuanto a la participación ciudadana como instrumento de política y de gestión ambiental, e</w:t>
      </w:r>
      <w:r w:rsidR="00136E1D">
        <w:rPr>
          <w:rFonts w:ascii="Bookman Old Style" w:eastAsia="Times New Roman" w:hAnsi="Bookman Old Style"/>
        </w:rPr>
        <w:t xml:space="preserve">l </w:t>
      </w:r>
      <w:r w:rsidR="00136E1D" w:rsidRPr="00136E1D">
        <w:rPr>
          <w:rFonts w:ascii="Bookman Old Style" w:eastAsia="Times New Roman" w:hAnsi="Bookman Old Style"/>
        </w:rPr>
        <w:t>A</w:t>
      </w:r>
      <w:r w:rsidR="00136E1D">
        <w:rPr>
          <w:rFonts w:ascii="Bookman Old Style" w:eastAsia="Times New Roman" w:hAnsi="Bookman Old Style"/>
        </w:rPr>
        <w:t>rtí</w:t>
      </w:r>
      <w:r w:rsidR="00136E1D" w:rsidRPr="00136E1D">
        <w:rPr>
          <w:rFonts w:ascii="Bookman Old Style" w:eastAsia="Times New Roman" w:hAnsi="Bookman Old Style"/>
        </w:rPr>
        <w:t>culo 19</w:t>
      </w:r>
      <w:r w:rsidR="00136E1D">
        <w:rPr>
          <w:rFonts w:ascii="Bookman Old Style" w:eastAsia="Times New Roman" w:hAnsi="Bookman Old Style"/>
        </w:rPr>
        <w:t>°</w:t>
      </w:r>
      <w:r w:rsidR="00114924">
        <w:rPr>
          <w:rFonts w:ascii="Bookman Old Style" w:eastAsia="Times New Roman" w:hAnsi="Bookman Old Style"/>
        </w:rPr>
        <w:t xml:space="preserve"> de la misma normativa establece</w:t>
      </w:r>
      <w:r w:rsidR="00136E1D" w:rsidRPr="00136E1D">
        <w:rPr>
          <w:rFonts w:ascii="Bookman Old Style" w:eastAsia="Times New Roman" w:hAnsi="Bookman Old Style"/>
        </w:rPr>
        <w:t xml:space="preserve"> </w:t>
      </w:r>
      <w:r w:rsidR="00136E1D">
        <w:rPr>
          <w:rFonts w:ascii="Bookman Old Style" w:eastAsia="Times New Roman" w:hAnsi="Bookman Old Style"/>
        </w:rPr>
        <w:t>“</w:t>
      </w:r>
      <w:r w:rsidR="00136E1D" w:rsidRPr="00F9205E">
        <w:rPr>
          <w:rFonts w:ascii="Bookman Old Style" w:eastAsia="Times New Roman" w:hAnsi="Bookman Old Style"/>
          <w:i/>
        </w:rPr>
        <w:t>Toda persona tiene derecho a ser consultada y a opinar en procedimientos administrativos que se relacionen con la preservación y protección del ambiente, que sean de incidencia general o particular, y de alcance general</w:t>
      </w:r>
      <w:r w:rsidR="00136E1D">
        <w:rPr>
          <w:rFonts w:ascii="Bookman Old Style" w:eastAsia="Times New Roman" w:hAnsi="Bookman Old Style"/>
        </w:rPr>
        <w:t>”,</w:t>
      </w:r>
      <w:r w:rsidR="00114924">
        <w:rPr>
          <w:rFonts w:ascii="Bookman Old Style" w:eastAsia="Times New Roman" w:hAnsi="Bookman Old Style"/>
        </w:rPr>
        <w:t xml:space="preserve"> participación que no se ha hecho efectiva toda vez que no se </w:t>
      </w:r>
      <w:r w:rsidR="00F9205E">
        <w:rPr>
          <w:rFonts w:ascii="Bookman Old Style" w:eastAsia="Times New Roman" w:hAnsi="Bookman Old Style"/>
        </w:rPr>
        <w:t>realizó</w:t>
      </w:r>
      <w:r w:rsidR="00114924">
        <w:rPr>
          <w:rFonts w:ascii="Bookman Old Style" w:eastAsia="Times New Roman" w:hAnsi="Bookman Old Style"/>
        </w:rPr>
        <w:t xml:space="preserve"> la audiencia </w:t>
      </w:r>
      <w:r w:rsidR="00F9205E">
        <w:rPr>
          <w:rFonts w:ascii="Bookman Old Style" w:eastAsia="Times New Roman" w:hAnsi="Bookman Old Style"/>
        </w:rPr>
        <w:t>pública</w:t>
      </w:r>
      <w:r w:rsidR="00114924">
        <w:rPr>
          <w:rFonts w:ascii="Bookman Old Style" w:eastAsia="Times New Roman" w:hAnsi="Bookman Old Style"/>
        </w:rPr>
        <w:t xml:space="preserve"> en el caso traído a V.S; en esta ultima inteligencia,</w:t>
      </w:r>
      <w:r w:rsidR="00136E1D">
        <w:rPr>
          <w:rFonts w:ascii="Bookman Old Style" w:eastAsia="Times New Roman" w:hAnsi="Bookman Old Style"/>
        </w:rPr>
        <w:t xml:space="preserve"> el </w:t>
      </w:r>
      <w:r w:rsidR="00136E1D" w:rsidRPr="00136E1D">
        <w:rPr>
          <w:rFonts w:ascii="Bookman Old Style" w:eastAsia="Times New Roman" w:hAnsi="Bookman Old Style"/>
        </w:rPr>
        <w:t>A</w:t>
      </w:r>
      <w:r w:rsidR="00136E1D">
        <w:rPr>
          <w:rFonts w:ascii="Bookman Old Style" w:eastAsia="Times New Roman" w:hAnsi="Bookman Old Style"/>
        </w:rPr>
        <w:t>rtículo</w:t>
      </w:r>
      <w:r w:rsidR="00136E1D" w:rsidRPr="00136E1D">
        <w:rPr>
          <w:rFonts w:ascii="Bookman Old Style" w:eastAsia="Times New Roman" w:hAnsi="Bookman Old Style"/>
        </w:rPr>
        <w:t xml:space="preserve"> 20</w:t>
      </w:r>
      <w:r w:rsidR="00136E1D">
        <w:rPr>
          <w:rFonts w:ascii="Bookman Old Style" w:eastAsia="Times New Roman" w:hAnsi="Bookman Old Style"/>
        </w:rPr>
        <w:t>°</w:t>
      </w:r>
      <w:r w:rsidR="00114924">
        <w:rPr>
          <w:rFonts w:ascii="Bookman Old Style" w:eastAsia="Times New Roman" w:hAnsi="Bookman Old Style"/>
        </w:rPr>
        <w:t xml:space="preserve"> prescribe </w:t>
      </w:r>
      <w:r w:rsidR="00136E1D">
        <w:rPr>
          <w:rFonts w:ascii="Bookman Old Style" w:eastAsia="Times New Roman" w:hAnsi="Bookman Old Style"/>
        </w:rPr>
        <w:t>“</w:t>
      </w:r>
      <w:r w:rsidR="00136E1D" w:rsidRPr="00F9205E">
        <w:rPr>
          <w:rFonts w:ascii="Bookman Old Style" w:eastAsia="Times New Roman" w:hAnsi="Bookman Old Style"/>
          <w:b/>
          <w:i/>
        </w:rPr>
        <w:t>Las autoridades deberán institucionalizar procedimientos de consultas o audiencias públicas como instancias obligatorias para la autorización de aquellas actividades que puedan generar efectos negativos y significativos sobre el ambiente</w:t>
      </w:r>
      <w:r w:rsidR="00136E1D" w:rsidRPr="00F9205E">
        <w:rPr>
          <w:rFonts w:ascii="Bookman Old Style" w:eastAsia="Times New Roman" w:hAnsi="Bookman Old Style"/>
          <w:i/>
        </w:rPr>
        <w:t>. La opinión u objeción de los participantes no será vinculante para las autoridades convocantes; pero en caso de que éstas presenten opinión contraria a los resultados alcanzados en la audiencia o consulta pública deberán fundamentarla y hacerla pública</w:t>
      </w:r>
      <w:r w:rsidR="00136E1D">
        <w:rPr>
          <w:rFonts w:ascii="Bookman Old Style" w:eastAsia="Times New Roman" w:hAnsi="Bookman Old Style"/>
        </w:rPr>
        <w:t>” y</w:t>
      </w:r>
      <w:r w:rsidR="00114924">
        <w:rPr>
          <w:rFonts w:ascii="Bookman Old Style" w:eastAsia="Times New Roman" w:hAnsi="Bookman Old Style"/>
        </w:rPr>
        <w:t>, con la misma lógica y finalidad</w:t>
      </w:r>
      <w:r w:rsidR="00136E1D">
        <w:rPr>
          <w:rFonts w:ascii="Bookman Old Style" w:eastAsia="Times New Roman" w:hAnsi="Bookman Old Style"/>
        </w:rPr>
        <w:t xml:space="preserve"> el </w:t>
      </w:r>
      <w:r w:rsidR="00136E1D" w:rsidRPr="00136E1D">
        <w:rPr>
          <w:rFonts w:ascii="Bookman Old Style" w:eastAsia="Times New Roman" w:hAnsi="Bookman Old Style"/>
        </w:rPr>
        <w:t>A</w:t>
      </w:r>
      <w:r w:rsidR="00136E1D">
        <w:rPr>
          <w:rFonts w:ascii="Bookman Old Style" w:eastAsia="Times New Roman" w:hAnsi="Bookman Old Style"/>
        </w:rPr>
        <w:t>rtículo</w:t>
      </w:r>
      <w:r w:rsidR="00136E1D" w:rsidRPr="00136E1D">
        <w:rPr>
          <w:rFonts w:ascii="Bookman Old Style" w:eastAsia="Times New Roman" w:hAnsi="Bookman Old Style"/>
        </w:rPr>
        <w:t xml:space="preserve"> 21</w:t>
      </w:r>
      <w:r w:rsidR="00136E1D">
        <w:rPr>
          <w:rFonts w:ascii="Bookman Old Style" w:eastAsia="Times New Roman" w:hAnsi="Bookman Old Style"/>
        </w:rPr>
        <w:t xml:space="preserve">° </w:t>
      </w:r>
      <w:r w:rsidR="00114924">
        <w:rPr>
          <w:rFonts w:ascii="Bookman Old Style" w:eastAsia="Times New Roman" w:hAnsi="Bookman Old Style"/>
        </w:rPr>
        <w:t xml:space="preserve">sostiene </w:t>
      </w:r>
      <w:r w:rsidR="00136E1D">
        <w:rPr>
          <w:rFonts w:ascii="Bookman Old Style" w:eastAsia="Times New Roman" w:hAnsi="Bookman Old Style"/>
        </w:rPr>
        <w:t>“</w:t>
      </w:r>
      <w:r w:rsidR="00136E1D" w:rsidRPr="00F9205E">
        <w:rPr>
          <w:rFonts w:ascii="Bookman Old Style" w:eastAsia="Times New Roman" w:hAnsi="Bookman Old Style"/>
          <w:b/>
          <w:i/>
        </w:rPr>
        <w:t>La participación ciudadana deberá asegurarse, principalmente, en los procedimientos de evaluación de impacto ambiental y en los planes y programas de ordenamiento ambiental del territorio, en particular, en las etapas de planificación y evaluación de resultados</w:t>
      </w:r>
      <w:r w:rsidR="00CD09B8">
        <w:rPr>
          <w:rFonts w:ascii="Bookman Old Style" w:eastAsia="Times New Roman" w:hAnsi="Bookman Old Style"/>
        </w:rPr>
        <w:t>”</w:t>
      </w:r>
      <w:r w:rsidR="00136E1D" w:rsidRPr="00136E1D">
        <w:rPr>
          <w:rFonts w:ascii="Bookman Old Style" w:eastAsia="Times New Roman" w:hAnsi="Bookman Old Style"/>
        </w:rPr>
        <w:t>.</w:t>
      </w:r>
    </w:p>
    <w:p w:rsidR="004042CF" w:rsidRPr="00AF413C" w:rsidRDefault="00A04237"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 xml:space="preserve">Tal como lo </w:t>
      </w:r>
      <w:r w:rsidR="008839E4">
        <w:rPr>
          <w:rFonts w:ascii="Bookman Old Style" w:eastAsia="Times New Roman" w:hAnsi="Bookman Old Style"/>
        </w:rPr>
        <w:t>mencioné</w:t>
      </w:r>
      <w:r>
        <w:rPr>
          <w:rFonts w:ascii="Bookman Old Style" w:eastAsia="Times New Roman" w:hAnsi="Bookman Old Style"/>
        </w:rPr>
        <w:t xml:space="preserve"> anteriormente y</w:t>
      </w:r>
      <w:r w:rsidR="008839E4">
        <w:rPr>
          <w:rFonts w:ascii="Bookman Old Style" w:eastAsia="Times New Roman" w:hAnsi="Bookman Old Style"/>
        </w:rPr>
        <w:t>,</w:t>
      </w:r>
      <w:r>
        <w:rPr>
          <w:rFonts w:ascii="Bookman Old Style" w:eastAsia="Times New Roman" w:hAnsi="Bookman Old Style"/>
        </w:rPr>
        <w:t xml:space="preserve"> e</w:t>
      </w:r>
      <w:r w:rsidR="0049686B" w:rsidRPr="00FF65F3">
        <w:rPr>
          <w:rFonts w:ascii="Bookman Old Style" w:eastAsia="Times New Roman" w:hAnsi="Bookman Old Style"/>
        </w:rPr>
        <w:t>n idéntico sentido</w:t>
      </w:r>
      <w:r>
        <w:rPr>
          <w:rFonts w:ascii="Bookman Old Style" w:eastAsia="Times New Roman" w:hAnsi="Bookman Old Style"/>
        </w:rPr>
        <w:t xml:space="preserve"> a las otras leyes mencionadas,</w:t>
      </w:r>
      <w:r w:rsidR="0049686B" w:rsidRPr="00FF65F3">
        <w:rPr>
          <w:rFonts w:ascii="Bookman Old Style" w:eastAsia="Times New Roman" w:hAnsi="Bookman Old Style"/>
        </w:rPr>
        <w:t xml:space="preserve"> </w:t>
      </w:r>
      <w:r w:rsidR="004042CF" w:rsidRPr="00FF65F3">
        <w:rPr>
          <w:rFonts w:ascii="Bookman Old Style" w:eastAsia="Times New Roman" w:hAnsi="Bookman Old Style"/>
        </w:rPr>
        <w:t>la Ley XI Nº 35 en su Artículo 30º establece que</w:t>
      </w:r>
      <w:r>
        <w:rPr>
          <w:rFonts w:ascii="Bookman Old Style" w:eastAsia="Times New Roman" w:hAnsi="Bookman Old Style"/>
        </w:rPr>
        <w:t xml:space="preserve"> “</w:t>
      </w:r>
      <w:r w:rsidR="004042CF" w:rsidRPr="00F9205E">
        <w:rPr>
          <w:rFonts w:ascii="Bookman Old Style" w:eastAsia="Times New Roman" w:hAnsi="Bookman Old Style"/>
          <w:i/>
        </w:rPr>
        <w:t>los proyectos, actividades u obras, públicos o privados, capaces de degradar el ambiente, deberán someterse a una evaluación de impacto ambiental en la for</w:t>
      </w:r>
      <w:r w:rsidR="00AF413C" w:rsidRPr="00F9205E">
        <w:rPr>
          <w:rFonts w:ascii="Bookman Old Style" w:eastAsia="Times New Roman" w:hAnsi="Bookman Old Style"/>
          <w:i/>
        </w:rPr>
        <w:t>ma prevista en la presente ley</w:t>
      </w:r>
      <w:r>
        <w:rPr>
          <w:rFonts w:ascii="Bookman Old Style" w:eastAsia="Times New Roman" w:hAnsi="Bookman Old Style"/>
        </w:rPr>
        <w:t>”</w:t>
      </w:r>
      <w:r w:rsidR="00AF413C">
        <w:rPr>
          <w:rFonts w:ascii="Bookman Old Style" w:eastAsia="Times New Roman" w:hAnsi="Bookman Old Style"/>
        </w:rPr>
        <w:t xml:space="preserve">. </w:t>
      </w:r>
      <w:r>
        <w:rPr>
          <w:rFonts w:ascii="Bookman Old Style" w:eastAsia="Times New Roman" w:hAnsi="Bookman Old Style"/>
        </w:rPr>
        <w:t>E</w:t>
      </w:r>
      <w:r w:rsidR="004042CF" w:rsidRPr="00FF65F3">
        <w:rPr>
          <w:rFonts w:ascii="Bookman Old Style" w:eastAsia="Times New Roman" w:hAnsi="Bookman Old Style"/>
          <w:lang w:val="es-ES_tradnl"/>
        </w:rPr>
        <w:t>l Artículo 31° del Código Ambiental expresa</w:t>
      </w:r>
      <w:r>
        <w:rPr>
          <w:rFonts w:ascii="Bookman Old Style" w:eastAsia="Times New Roman" w:hAnsi="Bookman Old Style"/>
          <w:lang w:val="es-ES_tradnl"/>
        </w:rPr>
        <w:t>, además,</w:t>
      </w:r>
      <w:r w:rsidR="004042CF" w:rsidRPr="00FF65F3">
        <w:rPr>
          <w:rFonts w:ascii="Bookman Old Style" w:eastAsia="Times New Roman" w:hAnsi="Bookman Old Style"/>
          <w:lang w:val="es-ES_tradnl"/>
        </w:rPr>
        <w:t xml:space="preserve"> que</w:t>
      </w:r>
      <w:r>
        <w:rPr>
          <w:rFonts w:ascii="Bookman Old Style" w:eastAsia="Times New Roman" w:hAnsi="Bookman Old Style"/>
          <w:lang w:val="es-ES_tradnl"/>
        </w:rPr>
        <w:t xml:space="preserve"> “</w:t>
      </w:r>
      <w:r w:rsidRPr="00F9205E">
        <w:rPr>
          <w:rFonts w:ascii="Bookman Old Style" w:eastAsia="Times New Roman" w:hAnsi="Bookman Old Style"/>
          <w:i/>
          <w:lang w:val="es-ES_tradnl"/>
        </w:rPr>
        <w:t>S</w:t>
      </w:r>
      <w:r w:rsidR="004042CF" w:rsidRPr="00F9205E">
        <w:rPr>
          <w:rFonts w:ascii="Bookman Old Style" w:eastAsia="Times New Roman" w:hAnsi="Bookman Old Style"/>
          <w:i/>
          <w:lang w:val="es-ES_tradnl"/>
        </w:rPr>
        <w:t xml:space="preserve">e consideran actividades degradantes o susceptibles de degradar el ambiente: </w:t>
      </w:r>
      <w:r w:rsidR="004042CF" w:rsidRPr="00F9205E">
        <w:rPr>
          <w:rFonts w:ascii="Bookman Old Style" w:eastAsia="Times New Roman" w:hAnsi="Bookman Old Style"/>
          <w:b/>
          <w:i/>
          <w:lang w:val="es-ES_tradnl"/>
        </w:rPr>
        <w:t>a) Las que contaminan directa o indirectamente el suelo, agua, aire, flora, fauna, paisaje y otros componentes, tanto naturales como culturales del ecosistema</w:t>
      </w:r>
      <w:r w:rsidR="004042CF" w:rsidRPr="00F9205E">
        <w:rPr>
          <w:rFonts w:ascii="Bookman Old Style" w:eastAsia="Times New Roman" w:hAnsi="Bookman Old Style"/>
          <w:i/>
          <w:lang w:val="es-ES_tradnl"/>
        </w:rPr>
        <w:t xml:space="preserve">. b) Las que modifiquen la topografía. </w:t>
      </w:r>
      <w:proofErr w:type="gramStart"/>
      <w:r w:rsidR="004042CF" w:rsidRPr="00F9205E">
        <w:rPr>
          <w:rFonts w:ascii="Bookman Old Style" w:eastAsia="Times New Roman" w:hAnsi="Bookman Old Style"/>
          <w:b/>
          <w:i/>
          <w:lang w:val="es-ES_tradnl"/>
        </w:rPr>
        <w:t>c</w:t>
      </w:r>
      <w:proofErr w:type="gramEnd"/>
      <w:r w:rsidR="004042CF" w:rsidRPr="00F9205E">
        <w:rPr>
          <w:rFonts w:ascii="Bookman Old Style" w:eastAsia="Times New Roman" w:hAnsi="Bookman Old Style"/>
          <w:b/>
          <w:i/>
          <w:lang w:val="es-ES_tradnl"/>
        </w:rPr>
        <w:t>) Las que alteren o destruyan, directa o indirectamente, parcial o totalmente, individuos y poblaciones de flora y fauna</w:t>
      </w:r>
      <w:r w:rsidR="004042CF" w:rsidRPr="00F9205E">
        <w:rPr>
          <w:rFonts w:ascii="Bookman Old Style" w:eastAsia="Times New Roman" w:hAnsi="Bookman Old Style"/>
          <w:i/>
          <w:lang w:val="es-ES_tradnl"/>
        </w:rPr>
        <w:t>,</w:t>
      </w:r>
      <w:r w:rsidR="00AF413C" w:rsidRPr="00F9205E">
        <w:rPr>
          <w:rFonts w:ascii="Bookman Old Style" w:eastAsia="Times New Roman" w:hAnsi="Bookman Old Style"/>
          <w:i/>
          <w:lang w:val="es-ES_tradnl"/>
        </w:rPr>
        <w:t>…</w:t>
      </w:r>
      <w:r w:rsidR="004042CF" w:rsidRPr="00F9205E">
        <w:rPr>
          <w:rFonts w:ascii="Bookman Old Style" w:eastAsia="Times New Roman" w:hAnsi="Bookman Old Style"/>
          <w:i/>
          <w:lang w:val="es-ES_tradnl"/>
        </w:rPr>
        <w:t xml:space="preserve"> </w:t>
      </w:r>
      <w:r w:rsidR="00AF413C" w:rsidRPr="00F9205E">
        <w:rPr>
          <w:rFonts w:ascii="Bookman Old Style" w:eastAsia="Times New Roman" w:hAnsi="Bookman Old Style"/>
          <w:i/>
          <w:lang w:val="es-ES_tradnl"/>
        </w:rPr>
        <w:t>…</w:t>
      </w:r>
      <w:r w:rsidR="00AF413C" w:rsidRPr="00F9205E">
        <w:rPr>
          <w:rFonts w:ascii="Bookman Old Style" w:eastAsia="Times New Roman" w:hAnsi="Bookman Old Style"/>
          <w:b/>
          <w:i/>
          <w:lang w:val="es-ES_tradnl"/>
        </w:rPr>
        <w:t>n) Cualquier otra actividad capaz de alterar los ecosistemas y/o sus componentes, tanto naturales como socioculturales y la salud y bienestar de la población</w:t>
      </w:r>
      <w:r>
        <w:rPr>
          <w:rFonts w:ascii="Bookman Old Style" w:eastAsia="Times New Roman" w:hAnsi="Bookman Old Style"/>
          <w:b/>
          <w:lang w:val="es-ES_tradnl"/>
        </w:rPr>
        <w:t>”</w:t>
      </w:r>
      <w:r w:rsidR="00AF413C">
        <w:rPr>
          <w:rFonts w:ascii="Bookman Old Style" w:eastAsia="Times New Roman" w:hAnsi="Bookman Old Style"/>
          <w:lang w:val="es-ES_tradnl"/>
        </w:rPr>
        <w:t xml:space="preserve">, </w:t>
      </w:r>
      <w:r w:rsidR="004042CF" w:rsidRPr="00FF65F3">
        <w:rPr>
          <w:rFonts w:ascii="Bookman Old Style" w:eastAsia="Times New Roman" w:hAnsi="Bookman Old Style"/>
          <w:lang w:val="es-ES_tradnl"/>
        </w:rPr>
        <w:t>entre otras.</w:t>
      </w:r>
      <w:r w:rsidR="007455B1">
        <w:rPr>
          <w:rFonts w:ascii="Bookman Old Style" w:eastAsia="Times New Roman" w:hAnsi="Bookman Old Style"/>
          <w:lang w:val="es-ES_tradnl"/>
        </w:rPr>
        <w:t xml:space="preserve"> </w:t>
      </w:r>
      <w:r w:rsidR="00E2732E">
        <w:rPr>
          <w:rFonts w:ascii="Bookman Old Style" w:eastAsia="Times New Roman" w:hAnsi="Bookman Old Style"/>
          <w:lang w:val="es-ES_tradnl"/>
        </w:rPr>
        <w:t>Otro requisito a cumplimentar por parte del titular del centro de disposición y respecto del cual no se tienen novedades, por lo menos de público conocimiento como debiera ser, es el establecido en el artículo 35º que reza “</w:t>
      </w:r>
      <w:r w:rsidR="00E2732E" w:rsidRPr="00E2732E">
        <w:rPr>
          <w:rFonts w:ascii="Bookman Old Style" w:eastAsia="Times New Roman" w:hAnsi="Bookman Old Style"/>
          <w:i/>
          <w:lang w:val="es-ES_tradnl"/>
        </w:rPr>
        <w:t>el estudio de impacto ambiental será sometido a una audiencia pública, de acuerdo al procedimiento que la autoridad de aplicación establezca en la reglamentación del presente código</w:t>
      </w:r>
      <w:r w:rsidR="00E2732E">
        <w:rPr>
          <w:rFonts w:ascii="Bookman Old Style" w:eastAsia="Times New Roman" w:hAnsi="Bookman Old Style"/>
          <w:i/>
          <w:lang w:val="es-ES_tradnl"/>
        </w:rPr>
        <w:t>”</w:t>
      </w:r>
      <w:r w:rsidR="00E2732E">
        <w:rPr>
          <w:rFonts w:ascii="Bookman Old Style" w:eastAsia="Times New Roman" w:hAnsi="Bookman Old Style"/>
          <w:lang w:val="es-ES_tradnl"/>
        </w:rPr>
        <w:t xml:space="preserve">. </w:t>
      </w:r>
      <w:r w:rsidR="007455B1">
        <w:rPr>
          <w:rFonts w:ascii="Bookman Old Style" w:eastAsia="Times New Roman" w:hAnsi="Bookman Old Style"/>
          <w:lang w:val="es-ES_tradnl"/>
        </w:rPr>
        <w:t>Por otro lado</w:t>
      </w:r>
      <w:r w:rsidR="00E2732E">
        <w:rPr>
          <w:rFonts w:ascii="Bookman Old Style" w:eastAsia="Times New Roman" w:hAnsi="Bookman Old Style"/>
          <w:lang w:val="es-ES_tradnl"/>
        </w:rPr>
        <w:t>, presumo que</w:t>
      </w:r>
      <w:r>
        <w:rPr>
          <w:rFonts w:ascii="Bookman Old Style" w:eastAsia="Times New Roman" w:hAnsi="Bookman Old Style"/>
          <w:lang w:val="es-ES_tradnl"/>
        </w:rPr>
        <w:t xml:space="preserve"> también </w:t>
      </w:r>
      <w:r w:rsidR="00432D64">
        <w:rPr>
          <w:rFonts w:ascii="Bookman Old Style" w:eastAsia="Times New Roman" w:hAnsi="Bookman Old Style"/>
          <w:lang w:val="es-ES_tradnl"/>
        </w:rPr>
        <w:t>se estaría violando</w:t>
      </w:r>
      <w:r>
        <w:rPr>
          <w:rFonts w:ascii="Bookman Old Style" w:eastAsia="Times New Roman" w:hAnsi="Bookman Old Style"/>
          <w:lang w:val="es-ES_tradnl"/>
        </w:rPr>
        <w:t xml:space="preserve"> el </w:t>
      </w:r>
      <w:r w:rsidR="007455B1">
        <w:rPr>
          <w:rFonts w:ascii="Bookman Old Style" w:eastAsia="Times New Roman" w:hAnsi="Bookman Old Style"/>
          <w:lang w:val="es-ES_tradnl"/>
        </w:rPr>
        <w:t xml:space="preserve">Artículo 41° </w:t>
      </w:r>
      <w:r w:rsidR="00432D64">
        <w:rPr>
          <w:rFonts w:ascii="Bookman Old Style" w:eastAsia="Times New Roman" w:hAnsi="Bookman Old Style"/>
          <w:lang w:val="es-ES_tradnl"/>
        </w:rPr>
        <w:t xml:space="preserve">de esa </w:t>
      </w:r>
      <w:r w:rsidR="00F9205E">
        <w:rPr>
          <w:rFonts w:ascii="Bookman Old Style" w:eastAsia="Times New Roman" w:hAnsi="Bookman Old Style"/>
          <w:lang w:val="es-ES_tradnl"/>
        </w:rPr>
        <w:t xml:space="preserve">misma </w:t>
      </w:r>
      <w:r w:rsidR="00432D64">
        <w:rPr>
          <w:rFonts w:ascii="Bookman Old Style" w:eastAsia="Times New Roman" w:hAnsi="Bookman Old Style"/>
          <w:lang w:val="es-ES_tradnl"/>
        </w:rPr>
        <w:t>normativa por cuanto</w:t>
      </w:r>
      <w:r>
        <w:rPr>
          <w:rFonts w:ascii="Bookman Old Style" w:eastAsia="Times New Roman" w:hAnsi="Bookman Old Style"/>
          <w:lang w:val="es-ES_tradnl"/>
        </w:rPr>
        <w:t xml:space="preserve"> </w:t>
      </w:r>
      <w:r w:rsidR="007455B1">
        <w:rPr>
          <w:rFonts w:ascii="Bookman Old Style" w:eastAsia="Times New Roman" w:hAnsi="Bookman Old Style"/>
          <w:lang w:val="es-ES_tradnl"/>
        </w:rPr>
        <w:t>expresa “</w:t>
      </w:r>
      <w:proofErr w:type="spellStart"/>
      <w:r w:rsidR="007455B1" w:rsidRPr="00F9205E">
        <w:rPr>
          <w:rFonts w:ascii="Bookman Old Style" w:eastAsia="Times New Roman" w:hAnsi="Bookman Old Style"/>
          <w:b/>
          <w:i/>
          <w:lang w:val="es-ES_tradnl"/>
        </w:rPr>
        <w:t>Prohíbese</w:t>
      </w:r>
      <w:proofErr w:type="spellEnd"/>
      <w:r w:rsidR="007455B1" w:rsidRPr="00F9205E">
        <w:rPr>
          <w:rFonts w:ascii="Bookman Old Style" w:eastAsia="Times New Roman" w:hAnsi="Bookman Old Style"/>
          <w:i/>
          <w:lang w:val="es-ES_tradnl"/>
        </w:rPr>
        <w:t xml:space="preserve"> a las reparticiones nacionales, provinciales o municipales, </w:t>
      </w:r>
      <w:r w:rsidR="007455B1" w:rsidRPr="00F9205E">
        <w:rPr>
          <w:rFonts w:ascii="Bookman Old Style" w:eastAsia="Times New Roman" w:hAnsi="Bookman Old Style"/>
          <w:b/>
          <w:i/>
          <w:lang w:val="es-ES_tradnl"/>
        </w:rPr>
        <w:t>a las entidades públicas y privadas, y a los particulares, evacuar efluentes de cualquier origen a cuerpos receptores que signifiquen una degradación o desmedro del aire, del suelo o de las aguas de la provincia</w:t>
      </w:r>
      <w:r w:rsidR="007455B1" w:rsidRPr="00F9205E">
        <w:rPr>
          <w:rFonts w:ascii="Bookman Old Style" w:eastAsia="Times New Roman" w:hAnsi="Bookman Old Style"/>
          <w:i/>
          <w:lang w:val="es-ES_tradnl"/>
        </w:rPr>
        <w:t>, sin previa adecuación a las normas de calidad fijadas para el cuerpo en que se produce la descarga y que los convierte en inocuos o inofensivos para la salud de la población, para la flora y la fauna</w:t>
      </w:r>
      <w:r w:rsidR="007455B1" w:rsidRPr="007455B1">
        <w:rPr>
          <w:rFonts w:ascii="Bookman Old Style" w:eastAsia="Times New Roman" w:hAnsi="Bookman Old Style"/>
          <w:lang w:val="es-ES_tradnl"/>
        </w:rPr>
        <w:t>.</w:t>
      </w:r>
      <w:r w:rsidR="007455B1">
        <w:rPr>
          <w:rFonts w:ascii="Bookman Old Style" w:eastAsia="Times New Roman" w:hAnsi="Bookman Old Style"/>
          <w:lang w:val="es-ES_tradnl"/>
        </w:rPr>
        <w:t>”.</w:t>
      </w:r>
      <w:r w:rsidR="00853F3C">
        <w:rPr>
          <w:rFonts w:ascii="Bookman Old Style" w:eastAsia="Times New Roman" w:hAnsi="Bookman Old Style"/>
          <w:lang w:val="es-ES_tradnl"/>
        </w:rPr>
        <w:t xml:space="preserve"> </w:t>
      </w:r>
    </w:p>
    <w:p w:rsidR="0072180A" w:rsidRPr="00FF65F3" w:rsidRDefault="0072180A"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En cuanto al procedimiento jurídico -administrativo de Evaluación de Impacto Ambiental</w:t>
      </w:r>
      <w:r w:rsidR="00432D64">
        <w:rPr>
          <w:rFonts w:ascii="Bookman Old Style" w:eastAsia="Times New Roman" w:hAnsi="Bookman Old Style"/>
        </w:rPr>
        <w:t xml:space="preserve">, </w:t>
      </w:r>
      <w:r w:rsidRPr="00FF65F3">
        <w:rPr>
          <w:rFonts w:ascii="Bookman Old Style" w:eastAsia="Times New Roman" w:hAnsi="Bookman Old Style"/>
        </w:rPr>
        <w:t xml:space="preserve">la doctrina ha manifestado que es: </w:t>
      </w:r>
      <w:r w:rsidRPr="00FF65F3">
        <w:rPr>
          <w:rFonts w:ascii="Bookman Old Style" w:eastAsia="Times New Roman" w:hAnsi="Bookman Old Style"/>
          <w:i/>
        </w:rPr>
        <w:t xml:space="preserve">“una de las herramientas básicas que ha diseñado la  técnica  jurídica  sobre este aspecto es la ‘Evaluación de Impacto Ambiental’ (E.I.A.) es decir, exigir que </w:t>
      </w:r>
      <w:r w:rsidRPr="00FF65F3">
        <w:rPr>
          <w:rFonts w:ascii="Bookman Old Style" w:eastAsia="Times New Roman" w:hAnsi="Bookman Old Style"/>
          <w:b/>
          <w:i/>
        </w:rPr>
        <w:t>en forma previa a la iniciación de un emprendimiento u obra</w:t>
      </w:r>
      <w:r w:rsidRPr="00FF65F3">
        <w:rPr>
          <w:rFonts w:ascii="Bookman Old Style" w:eastAsia="Times New Roman" w:hAnsi="Bookman Old Style"/>
          <w:i/>
        </w:rPr>
        <w:t xml:space="preserve"> que pueda causar perjuicios importantes al ambiente y como condición indispensable para autorizarlo, el mismo sea objeto de un examen por parte de la autoridad administrativa tendiente a conocer las consecuencias que dicho concepto causará en el ambiente y las formas posibles de disminuir, reducir o suprimir esos efectos…”</w:t>
      </w:r>
      <w:r w:rsidRPr="00FF65F3">
        <w:rPr>
          <w:rFonts w:ascii="Bookman Old Style" w:eastAsia="Times New Roman" w:hAnsi="Bookman Old Style"/>
        </w:rPr>
        <w:t xml:space="preserve"> (Ricardo Tomás </w:t>
      </w:r>
      <w:proofErr w:type="spellStart"/>
      <w:r w:rsidRPr="00FF65F3">
        <w:rPr>
          <w:rFonts w:ascii="Bookman Old Style" w:eastAsia="Times New Roman" w:hAnsi="Bookman Old Style"/>
        </w:rPr>
        <w:t>Gerosa</w:t>
      </w:r>
      <w:proofErr w:type="spellEnd"/>
      <w:r w:rsidRPr="00FF65F3">
        <w:rPr>
          <w:rFonts w:ascii="Bookman Old Style" w:eastAsia="Times New Roman" w:hAnsi="Bookman Old Style"/>
        </w:rPr>
        <w:t xml:space="preserve"> Lewis, “La Protección Jurídica del Medio Ambiente en la Provincia del Chubut).</w:t>
      </w:r>
    </w:p>
    <w:p w:rsidR="0072180A" w:rsidRPr="00FF65F3" w:rsidRDefault="004C228F"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 xml:space="preserve">En suma, la Evaluación de Impacto Ambiental (EIA) es un procedimiento técnico-administrativo cuyo objeto es identificar, predecir e interpretar los impactos ambientales de un proyecto o actividad sobre el medio ambiente a </w:t>
      </w:r>
      <w:r w:rsidR="00432D64">
        <w:rPr>
          <w:rFonts w:ascii="Bookman Old Style" w:eastAsia="Times New Roman" w:hAnsi="Bookman Old Style"/>
        </w:rPr>
        <w:t xml:space="preserve">los </w:t>
      </w:r>
      <w:r w:rsidRPr="00FF65F3">
        <w:rPr>
          <w:rFonts w:ascii="Bookman Old Style" w:eastAsia="Times New Roman" w:hAnsi="Bookman Old Style"/>
        </w:rPr>
        <w:t>efectos de su aceptación, modificación o rechazo por parte de la autoridad de aplicación, en este caso el Ministerio de Ambiente y Control del Desarrollo Sustentable, autoridad de aplicación de la Ley XI N° 35 conforme el Artículo 99°.</w:t>
      </w:r>
    </w:p>
    <w:p w:rsidR="004C228F" w:rsidRPr="00FF65F3" w:rsidRDefault="004C228F"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De conformidad</w:t>
      </w:r>
      <w:r w:rsidR="00432D64">
        <w:rPr>
          <w:rFonts w:ascii="Bookman Old Style" w:eastAsia="Times New Roman" w:hAnsi="Bookman Old Style"/>
        </w:rPr>
        <w:t xml:space="preserve"> con lo expuesto</w:t>
      </w:r>
      <w:r w:rsidRPr="00FF65F3">
        <w:rPr>
          <w:rFonts w:ascii="Bookman Old Style" w:eastAsia="Times New Roman" w:hAnsi="Bookman Old Style"/>
        </w:rPr>
        <w:t>, infiero que la firma ARCANTE S.A.</w:t>
      </w:r>
      <w:r w:rsidR="00096BA1">
        <w:rPr>
          <w:rFonts w:ascii="Bookman Old Style" w:eastAsia="Times New Roman" w:hAnsi="Bookman Old Style"/>
        </w:rPr>
        <w:t xml:space="preserve"> </w:t>
      </w:r>
      <w:r w:rsidRPr="00FF65F3">
        <w:rPr>
          <w:rFonts w:ascii="Bookman Old Style" w:eastAsia="Times New Roman" w:hAnsi="Bookman Old Style"/>
        </w:rPr>
        <w:t xml:space="preserve">se encuentra </w:t>
      </w:r>
      <w:r w:rsidR="00096BA1">
        <w:rPr>
          <w:rFonts w:ascii="Bookman Old Style" w:eastAsia="Times New Roman" w:hAnsi="Bookman Old Style"/>
        </w:rPr>
        <w:t xml:space="preserve">de hecho </w:t>
      </w:r>
      <w:r w:rsidRPr="00FF65F3">
        <w:rPr>
          <w:rFonts w:ascii="Bookman Old Style" w:eastAsia="Times New Roman" w:hAnsi="Bookman Old Style"/>
        </w:rPr>
        <w:t xml:space="preserve">actualmente funcionando sin </w:t>
      </w:r>
      <w:r w:rsidR="00096BA1">
        <w:rPr>
          <w:rFonts w:ascii="Bookman Old Style" w:eastAsia="Times New Roman" w:hAnsi="Bookman Old Style"/>
        </w:rPr>
        <w:t>contar con la debida</w:t>
      </w:r>
      <w:r w:rsidRPr="00FF65F3">
        <w:rPr>
          <w:rFonts w:ascii="Bookman Old Style" w:eastAsia="Times New Roman" w:hAnsi="Bookman Old Style"/>
        </w:rPr>
        <w:t xml:space="preserve"> aprobación formal del Ministerio de Ambiente y Control del Desarrollo Sustentable, </w:t>
      </w:r>
      <w:r w:rsidR="00096BA1">
        <w:rPr>
          <w:rFonts w:ascii="Bookman Old Style" w:eastAsia="Times New Roman" w:hAnsi="Bookman Old Style"/>
        </w:rPr>
        <w:t xml:space="preserve">toda vez que </w:t>
      </w:r>
      <w:r w:rsidRPr="00FF65F3">
        <w:rPr>
          <w:rFonts w:ascii="Bookman Old Style" w:eastAsia="Times New Roman" w:hAnsi="Bookman Old Style"/>
        </w:rPr>
        <w:t>a la fecha no se ha cumplimentado con el</w:t>
      </w:r>
      <w:r w:rsidR="00096BA1">
        <w:rPr>
          <w:rFonts w:ascii="Bookman Old Style" w:eastAsia="Times New Roman" w:hAnsi="Bookman Old Style"/>
        </w:rPr>
        <w:t xml:space="preserve"> requisito que exige el </w:t>
      </w:r>
      <w:r w:rsidR="006072D1">
        <w:rPr>
          <w:rFonts w:ascii="Bookman Old Style" w:eastAsia="Times New Roman" w:hAnsi="Bookman Old Style"/>
        </w:rPr>
        <w:t>artículo</w:t>
      </w:r>
      <w:r w:rsidR="00096BA1">
        <w:rPr>
          <w:rFonts w:ascii="Bookman Old Style" w:eastAsia="Times New Roman" w:hAnsi="Bookman Old Style"/>
        </w:rPr>
        <w:t xml:space="preserve"> 30</w:t>
      </w:r>
      <w:r w:rsidR="006072D1">
        <w:rPr>
          <w:rFonts w:ascii="Bookman Old Style" w:eastAsia="Times New Roman" w:hAnsi="Bookman Old Style"/>
        </w:rPr>
        <w:t xml:space="preserve">º de la Ley XI Nº 35 </w:t>
      </w:r>
      <w:r w:rsidR="00096BA1">
        <w:rPr>
          <w:rFonts w:ascii="Bookman Old Style" w:eastAsia="Times New Roman" w:hAnsi="Bookman Old Style"/>
        </w:rPr>
        <w:t>y, en consecuencia, tampoco se dio cabal cumplimiento a lo previsto en el a</w:t>
      </w:r>
      <w:r w:rsidRPr="00FF65F3">
        <w:rPr>
          <w:rFonts w:ascii="Bookman Old Style" w:eastAsia="Times New Roman" w:hAnsi="Bookman Old Style"/>
        </w:rPr>
        <w:t>rtículo 35° del Código Ambiental que expresa que</w:t>
      </w:r>
      <w:r w:rsidR="00F9205E">
        <w:rPr>
          <w:rFonts w:ascii="Bookman Old Style" w:eastAsia="Times New Roman" w:hAnsi="Bookman Old Style"/>
        </w:rPr>
        <w:t xml:space="preserve"> el EIA</w:t>
      </w:r>
      <w:r w:rsidRPr="00FF65F3">
        <w:rPr>
          <w:rFonts w:ascii="Bookman Old Style" w:eastAsia="Times New Roman" w:hAnsi="Bookman Old Style"/>
        </w:rPr>
        <w:t xml:space="preserve"> será sometido a una audiencia pública</w:t>
      </w:r>
      <w:r w:rsidR="006072D1">
        <w:rPr>
          <w:rFonts w:ascii="Bookman Old Style" w:eastAsia="Times New Roman" w:hAnsi="Bookman Old Style"/>
        </w:rPr>
        <w:t>.</w:t>
      </w:r>
      <w:r w:rsidRPr="00FF65F3">
        <w:rPr>
          <w:rFonts w:ascii="Bookman Old Style" w:eastAsia="Times New Roman" w:hAnsi="Bookman Old Style"/>
        </w:rPr>
        <w:t xml:space="preserve"> </w:t>
      </w:r>
    </w:p>
    <w:p w:rsidR="00A71B59" w:rsidRDefault="004C228F"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A la fecha no he visto en la página del citado Ministerio</w:t>
      </w:r>
      <w:r w:rsidR="00A71B59" w:rsidRPr="00FF65F3">
        <w:rPr>
          <w:rFonts w:ascii="Bookman Old Style" w:eastAsia="Times New Roman" w:hAnsi="Bookman Old Style"/>
        </w:rPr>
        <w:t xml:space="preserve"> (http://www.ambiente.chubut.gov.ar/participacion-ciudadana/)</w:t>
      </w:r>
      <w:r w:rsidRPr="00FF65F3">
        <w:rPr>
          <w:rFonts w:ascii="Bookman Old Style" w:eastAsia="Times New Roman" w:hAnsi="Bookman Old Style"/>
        </w:rPr>
        <w:t xml:space="preserve">, la convocatoria a Audiencia Pública de conformidad al Decreto N° 185/09 y sus modificatorias, razón por la cual </w:t>
      </w:r>
      <w:r w:rsidR="00096BA1">
        <w:rPr>
          <w:rFonts w:ascii="Bookman Old Style" w:eastAsia="Times New Roman" w:hAnsi="Bookman Old Style"/>
        </w:rPr>
        <w:t xml:space="preserve">-entiendo- </w:t>
      </w:r>
      <w:r w:rsidRPr="00FF65F3">
        <w:rPr>
          <w:rFonts w:ascii="Bookman Old Style" w:eastAsia="Times New Roman" w:hAnsi="Bookman Old Style"/>
        </w:rPr>
        <w:t>no debería estar en funcionamiento el me</w:t>
      </w:r>
      <w:r w:rsidR="00F9205E">
        <w:rPr>
          <w:rFonts w:ascii="Bookman Old Style" w:eastAsia="Times New Roman" w:hAnsi="Bookman Old Style"/>
        </w:rPr>
        <w:t xml:space="preserve">ncionado emprendimiento, lo cual deja entrever, a contrario sensu, que estaría operando o </w:t>
      </w:r>
      <w:r w:rsidR="006072D1">
        <w:rPr>
          <w:rFonts w:ascii="Bookman Old Style" w:eastAsia="Times New Roman" w:hAnsi="Bookman Old Style"/>
        </w:rPr>
        <w:t xml:space="preserve">bien </w:t>
      </w:r>
      <w:r w:rsidR="00F9205E">
        <w:rPr>
          <w:rFonts w:ascii="Bookman Old Style" w:eastAsia="Times New Roman" w:hAnsi="Bookman Old Style"/>
        </w:rPr>
        <w:t>desarrollando la actividad</w:t>
      </w:r>
      <w:r w:rsidR="006072D1">
        <w:rPr>
          <w:rFonts w:ascii="Bookman Old Style" w:eastAsia="Times New Roman" w:hAnsi="Bookman Old Style"/>
        </w:rPr>
        <w:t xml:space="preserve">, </w:t>
      </w:r>
      <w:r w:rsidR="00F9205E">
        <w:rPr>
          <w:rFonts w:ascii="Bookman Old Style" w:eastAsia="Times New Roman" w:hAnsi="Bookman Old Style"/>
        </w:rPr>
        <w:t>clandestinamente.</w:t>
      </w:r>
      <w:r w:rsidR="006072D1">
        <w:rPr>
          <w:rFonts w:ascii="Bookman Old Style" w:eastAsia="Times New Roman" w:hAnsi="Bookman Old Style"/>
        </w:rPr>
        <w:t xml:space="preserve"> Asimismo, </w:t>
      </w:r>
      <w:r w:rsidR="00DB52D4">
        <w:rPr>
          <w:rFonts w:ascii="Bookman Old Style" w:eastAsia="Times New Roman" w:hAnsi="Bookman Old Style"/>
        </w:rPr>
        <w:t>la nota del Diario J</w:t>
      </w:r>
      <w:r w:rsidR="00A71B59" w:rsidRPr="00FF65F3">
        <w:rPr>
          <w:rFonts w:ascii="Bookman Old Style" w:eastAsia="Times New Roman" w:hAnsi="Bookman Old Style"/>
        </w:rPr>
        <w:t xml:space="preserve">ornada, de fecha </w:t>
      </w:r>
      <w:r w:rsidR="00DB52D4">
        <w:rPr>
          <w:rFonts w:ascii="Bookman Old Style" w:eastAsia="Times New Roman" w:hAnsi="Bookman Old Style"/>
        </w:rPr>
        <w:t>11/12/2017 que se adjunta como documental,</w:t>
      </w:r>
      <w:r w:rsidR="004146C8" w:rsidRPr="00FF65F3">
        <w:rPr>
          <w:rFonts w:ascii="Bookman Old Style" w:eastAsia="Times New Roman" w:hAnsi="Bookman Old Style"/>
        </w:rPr>
        <w:t xml:space="preserve"> </w:t>
      </w:r>
      <w:r w:rsidR="006072D1">
        <w:rPr>
          <w:rFonts w:ascii="Bookman Old Style" w:eastAsia="Times New Roman" w:hAnsi="Bookman Old Style"/>
        </w:rPr>
        <w:t xml:space="preserve">titulada </w:t>
      </w:r>
      <w:r w:rsidR="004146C8" w:rsidRPr="00FF65F3">
        <w:rPr>
          <w:rFonts w:ascii="Bookman Old Style" w:eastAsia="Times New Roman" w:hAnsi="Bookman Old Style"/>
        </w:rPr>
        <w:t>“</w:t>
      </w:r>
      <w:r w:rsidR="004146C8" w:rsidRPr="00F9205E">
        <w:rPr>
          <w:rFonts w:ascii="Bookman Old Style" w:eastAsia="Times New Roman" w:hAnsi="Bookman Old Style"/>
          <w:i/>
        </w:rPr>
        <w:t xml:space="preserve">Cruce entre Provincia y Trelew por el volcado de residuos pesqueros en la ruta a </w:t>
      </w:r>
      <w:proofErr w:type="spellStart"/>
      <w:r w:rsidR="004146C8" w:rsidRPr="00F9205E">
        <w:rPr>
          <w:rFonts w:ascii="Bookman Old Style" w:eastAsia="Times New Roman" w:hAnsi="Bookman Old Style"/>
          <w:i/>
        </w:rPr>
        <w:t>Tombo</w:t>
      </w:r>
      <w:proofErr w:type="spellEnd"/>
      <w:r w:rsidR="004146C8" w:rsidRPr="00FF65F3">
        <w:rPr>
          <w:rFonts w:ascii="Bookman Old Style" w:eastAsia="Times New Roman" w:hAnsi="Bookman Old Style"/>
        </w:rPr>
        <w:t>”</w:t>
      </w:r>
      <w:r w:rsidR="00DB52D4">
        <w:rPr>
          <w:rFonts w:ascii="Bookman Old Style" w:eastAsia="Times New Roman" w:hAnsi="Bookman Old Style"/>
        </w:rPr>
        <w:t>, evidencia</w:t>
      </w:r>
      <w:r w:rsidR="004146C8" w:rsidRPr="00FF65F3">
        <w:rPr>
          <w:rFonts w:ascii="Bookman Old Style" w:eastAsia="Times New Roman" w:hAnsi="Bookman Old Style"/>
        </w:rPr>
        <w:t xml:space="preserve"> que la empresa ARCANTE SA</w:t>
      </w:r>
      <w:r w:rsidR="00DB52D4">
        <w:rPr>
          <w:rFonts w:ascii="Bookman Old Style" w:eastAsia="Times New Roman" w:hAnsi="Bookman Old Style"/>
        </w:rPr>
        <w:t xml:space="preserve"> estaría</w:t>
      </w:r>
      <w:r w:rsidR="004146C8" w:rsidRPr="00FF65F3">
        <w:rPr>
          <w:rFonts w:ascii="Bookman Old Style" w:eastAsia="Times New Roman" w:hAnsi="Bookman Old Style"/>
        </w:rPr>
        <w:t xml:space="preserve"> funcionando en el predio de</w:t>
      </w:r>
      <w:r w:rsidR="00DB52D4">
        <w:rPr>
          <w:rFonts w:ascii="Bookman Old Style" w:eastAsia="Times New Roman" w:hAnsi="Bookman Old Style"/>
        </w:rPr>
        <w:t xml:space="preserve"> manera precaria y provisoria. De la misma nota periodística surge también </w:t>
      </w:r>
      <w:r w:rsidR="004146C8" w:rsidRPr="00FF65F3">
        <w:rPr>
          <w:rFonts w:ascii="Bookman Old Style" w:eastAsia="Times New Roman" w:hAnsi="Bookman Old Style"/>
        </w:rPr>
        <w:t>que la Municipalidad de Trelew “</w:t>
      </w:r>
      <w:r w:rsidR="004146C8" w:rsidRPr="00DB52D4">
        <w:rPr>
          <w:rFonts w:ascii="Bookman Old Style" w:eastAsia="Times New Roman" w:hAnsi="Bookman Old Style"/>
          <w:i/>
        </w:rPr>
        <w:t>emitió un comunicado en donde polemizó con la decisión de Provincia y criticó la decisión unilateral del Ministerio de Ambiente</w:t>
      </w:r>
      <w:r w:rsidR="00DB52D4">
        <w:rPr>
          <w:rFonts w:ascii="Bookman Old Style" w:eastAsia="Times New Roman" w:hAnsi="Bookman Old Style"/>
        </w:rPr>
        <w:t>.” En este</w:t>
      </w:r>
      <w:r w:rsidR="004146C8" w:rsidRPr="00FF65F3">
        <w:rPr>
          <w:rFonts w:ascii="Bookman Old Style" w:eastAsia="Times New Roman" w:hAnsi="Bookman Old Style"/>
        </w:rPr>
        <w:t xml:space="preserve"> sentido, el comunicado dice que “</w:t>
      </w:r>
      <w:r w:rsidR="004146C8" w:rsidRPr="00DB52D4">
        <w:rPr>
          <w:rFonts w:ascii="Bookman Old Style" w:eastAsia="Times New Roman" w:hAnsi="Bookman Old Style"/>
          <w:i/>
        </w:rPr>
        <w:t xml:space="preserve">arbitrariamente, el Ministerio de Ambiente del Chubut habilitó a una empresa privada a disponer a cielo abierto de desechos orgánicos marinos en un campo fuera del ejido de Trelew. Más allá de la distancia jurisdiccional, el municipio no fue consultado sobre esta medida que va en perjuicio del ambiente saludable –tantas veces promovido por la gestión del intendente, Adrián </w:t>
      </w:r>
      <w:proofErr w:type="spellStart"/>
      <w:r w:rsidR="004146C8" w:rsidRPr="00DB52D4">
        <w:rPr>
          <w:rFonts w:ascii="Bookman Old Style" w:eastAsia="Times New Roman" w:hAnsi="Bookman Old Style"/>
          <w:i/>
        </w:rPr>
        <w:t>Maderna</w:t>
      </w:r>
      <w:proofErr w:type="spellEnd"/>
      <w:r w:rsidR="004146C8" w:rsidRPr="00DB52D4">
        <w:rPr>
          <w:rFonts w:ascii="Bookman Old Style" w:eastAsia="Times New Roman" w:hAnsi="Bookman Old Style"/>
          <w:i/>
        </w:rPr>
        <w:t>-, y afecta directamente la salud de los vecinos</w:t>
      </w:r>
      <w:r w:rsidR="004146C8" w:rsidRPr="00FF65F3">
        <w:rPr>
          <w:rFonts w:ascii="Bookman Old Style" w:eastAsia="Times New Roman" w:hAnsi="Bookman Old Style"/>
        </w:rPr>
        <w:t>.”.</w:t>
      </w:r>
      <w:r w:rsidR="006072D1">
        <w:rPr>
          <w:rFonts w:ascii="Bookman Old Style" w:eastAsia="Times New Roman" w:hAnsi="Bookman Old Style"/>
        </w:rPr>
        <w:t xml:space="preserve"> </w:t>
      </w:r>
      <w:r w:rsidR="008C5FB5">
        <w:rPr>
          <w:rFonts w:ascii="Bookman Old Style" w:eastAsia="Times New Roman" w:hAnsi="Bookman Old Style"/>
        </w:rPr>
        <w:t>El no cumplimiento de todas las exigencias legales para que dicho emprendimiento pueda funcionar y la</w:t>
      </w:r>
      <w:r w:rsidR="006072D1">
        <w:rPr>
          <w:rFonts w:ascii="Bookman Old Style" w:eastAsia="Times New Roman" w:hAnsi="Bookman Old Style"/>
        </w:rPr>
        <w:t xml:space="preserve"> información pública</w:t>
      </w:r>
      <w:r w:rsidR="008C5FB5">
        <w:rPr>
          <w:rFonts w:ascii="Bookman Old Style" w:eastAsia="Times New Roman" w:hAnsi="Bookman Old Style"/>
        </w:rPr>
        <w:t xml:space="preserve"> traída a colación</w:t>
      </w:r>
      <w:r w:rsidR="006072D1">
        <w:rPr>
          <w:rFonts w:ascii="Bookman Old Style" w:eastAsia="Times New Roman" w:hAnsi="Bookman Old Style"/>
        </w:rPr>
        <w:t xml:space="preserve"> evidenciaría en cierto modo que el Ministerio, lejos de ejercer su función como órgano de contralor o fiscalización, por acción u omisión, estaría permitiendo </w:t>
      </w:r>
      <w:r w:rsidR="008C5FB5">
        <w:rPr>
          <w:rFonts w:ascii="Bookman Old Style" w:eastAsia="Times New Roman" w:hAnsi="Bookman Old Style"/>
        </w:rPr>
        <w:t>-</w:t>
      </w:r>
      <w:r w:rsidR="006072D1">
        <w:rPr>
          <w:rFonts w:ascii="Bookman Old Style" w:eastAsia="Times New Roman" w:hAnsi="Bookman Old Style"/>
        </w:rPr>
        <w:t>a juzgar por su total indiferenci</w:t>
      </w:r>
      <w:r w:rsidR="008C5FB5">
        <w:rPr>
          <w:rFonts w:ascii="Bookman Old Style" w:eastAsia="Times New Roman" w:hAnsi="Bookman Old Style"/>
        </w:rPr>
        <w:t xml:space="preserve">a- </w:t>
      </w:r>
      <w:r w:rsidR="006072D1">
        <w:rPr>
          <w:rFonts w:ascii="Bookman Old Style" w:eastAsia="Times New Roman" w:hAnsi="Bookman Old Style"/>
        </w:rPr>
        <w:t xml:space="preserve"> que se desarrollen actividades ilícitas de cara a la sociedad y, demás está decir, de cara y frente a sus funcionarios.</w:t>
      </w:r>
    </w:p>
    <w:p w:rsidR="00524307" w:rsidRPr="00DB52D4" w:rsidRDefault="00DE4B7B" w:rsidP="00DE4B7B">
      <w:pPr>
        <w:spacing w:after="0" w:line="360" w:lineRule="auto"/>
        <w:ind w:firstLine="2127"/>
        <w:jc w:val="both"/>
        <w:rPr>
          <w:rFonts w:ascii="Bookman Old Style" w:eastAsia="Times New Roman" w:hAnsi="Bookman Old Style"/>
          <w:i/>
        </w:rPr>
      </w:pPr>
      <w:r w:rsidRPr="00DE4B7B">
        <w:rPr>
          <w:rFonts w:ascii="Bookman Old Style" w:eastAsia="Times New Roman" w:hAnsi="Bookman Old Style"/>
        </w:rPr>
        <w:t>Se adjunta a la presente, copia del Dictamen N° 218/18-DGAL</w:t>
      </w:r>
      <w:r w:rsidR="00DB52D4">
        <w:rPr>
          <w:rFonts w:ascii="Bookman Old Style" w:eastAsia="Times New Roman" w:hAnsi="Bookman Old Style"/>
        </w:rPr>
        <w:t>yNA-MAyCDS</w:t>
      </w:r>
      <w:r w:rsidRPr="00DE4B7B">
        <w:rPr>
          <w:rFonts w:ascii="Bookman Old Style" w:eastAsia="Times New Roman" w:hAnsi="Bookman Old Style"/>
        </w:rPr>
        <w:t xml:space="preserve"> de fecha 27 de abril de 2018, extraída de la página</w:t>
      </w:r>
      <w:r w:rsidRPr="00DE4B7B">
        <w:rPr>
          <w:rFonts w:ascii="Bookman Old Style" w:hAnsi="Bookman Old Style" w:cs="Arial"/>
          <w:shd w:val="clear" w:color="auto" w:fill="FFFFFF"/>
        </w:rPr>
        <w:t xml:space="preserve"> cholilaonline.com</w:t>
      </w:r>
      <w:r w:rsidR="008C5FB5">
        <w:rPr>
          <w:rFonts w:ascii="Bookman Old Style" w:eastAsia="Times New Roman" w:hAnsi="Bookman Old Style"/>
        </w:rPr>
        <w:t>, el cual</w:t>
      </w:r>
      <w:r w:rsidRPr="00DE4B7B">
        <w:rPr>
          <w:rFonts w:ascii="Bookman Old Style" w:eastAsia="Times New Roman" w:hAnsi="Bookman Old Style"/>
        </w:rPr>
        <w:t xml:space="preserve"> en su conclusión expresa: “</w:t>
      </w:r>
      <w:r w:rsidRPr="00DB52D4">
        <w:rPr>
          <w:rFonts w:ascii="Bookman Old Style" w:eastAsia="Times New Roman" w:hAnsi="Bookman Old Style"/>
          <w:i/>
        </w:rPr>
        <w:t>a) At</w:t>
      </w:r>
      <w:r w:rsidR="00DB52D4" w:rsidRPr="00DB52D4">
        <w:rPr>
          <w:rFonts w:ascii="Bookman Old Style" w:eastAsia="Times New Roman" w:hAnsi="Bookman Old Style"/>
          <w:i/>
        </w:rPr>
        <w:t>ento a la manifestación contrari</w:t>
      </w:r>
      <w:r w:rsidRPr="00DB52D4">
        <w:rPr>
          <w:rFonts w:ascii="Bookman Old Style" w:eastAsia="Times New Roman" w:hAnsi="Bookman Old Style"/>
          <w:i/>
        </w:rPr>
        <w:t>a a la realización del Proyecto, expresada por la Municipalidad de Trelew, y de distintos vecinos del lugar, debería informarse a la firma ARCANTE S.A. que el presente proyecto será elevado a Audiencia Pública, de conformidad al Artículo 22° del Decreto N° 185/09. b) Atento a que el proyecto presentado a fs. 40/97, básicamente trata la disposición en trincheras de los residuos sólidos orgánicos, y considerando que la Política Ambiental llevada adelante por este Ministerio de Ambiente y Control del Desarrollo Sustentable, es promocionar los métodos de tratamiento que impliquen minimización, reciclado y reutilización de los mismos, y la incorporación de tecnologías más adecuadas para la preservación ambiental, es que entiendo, que el Proyecto presentado no cumpliría cabalmente con lo pretendido por esta Autoridad de Aplicación. A tal efecto, la firma ARCANTE S.A. deberá aportar documentación que viabilice la minimización, reciclado y reutilización de los residuos sólidos orgánicos que pretende disponer. Por lo expuesto, adjunto Nota para su remisión a la firma ARCANTE S.A., de conformidad a lo expresado en el presente Dictamen.-”</w:t>
      </w:r>
      <w:r w:rsidR="00524307" w:rsidRPr="00DB52D4">
        <w:rPr>
          <w:rFonts w:ascii="Bookman Old Style" w:eastAsia="Times New Roman" w:hAnsi="Bookman Old Style"/>
          <w:i/>
        </w:rPr>
        <w:t>.</w:t>
      </w:r>
    </w:p>
    <w:p w:rsidR="00524307" w:rsidRDefault="00493B48" w:rsidP="00DE4B7B">
      <w:pPr>
        <w:spacing w:after="0" w:line="360" w:lineRule="auto"/>
        <w:ind w:firstLine="2127"/>
        <w:jc w:val="both"/>
        <w:rPr>
          <w:rFonts w:ascii="Bookman Old Style" w:eastAsia="Times New Roman" w:hAnsi="Bookman Old Style"/>
        </w:rPr>
      </w:pPr>
      <w:r>
        <w:rPr>
          <w:rFonts w:ascii="Bookman Old Style" w:eastAsia="Times New Roman" w:hAnsi="Bookman Old Style"/>
        </w:rPr>
        <w:t>Siguiendo la misma línea argumentativa</w:t>
      </w:r>
      <w:r w:rsidR="00524307">
        <w:rPr>
          <w:rFonts w:ascii="Bookman Old Style" w:eastAsia="Times New Roman" w:hAnsi="Bookman Old Style"/>
        </w:rPr>
        <w:t>, se adjunta copia de la nota</w:t>
      </w:r>
      <w:r>
        <w:rPr>
          <w:rFonts w:ascii="Bookman Old Style" w:eastAsia="Times New Roman" w:hAnsi="Bookman Old Style"/>
        </w:rPr>
        <w:t xml:space="preserve"> periodística</w:t>
      </w:r>
      <w:r w:rsidR="00524307">
        <w:rPr>
          <w:rFonts w:ascii="Bookman Old Style" w:eastAsia="Times New Roman" w:hAnsi="Bookman Old Style"/>
        </w:rPr>
        <w:t xml:space="preserve"> del </w:t>
      </w:r>
      <w:r>
        <w:rPr>
          <w:rFonts w:ascii="Bookman Old Style" w:eastAsia="Times New Roman" w:hAnsi="Bookman Old Style"/>
        </w:rPr>
        <w:t>“</w:t>
      </w:r>
      <w:r w:rsidR="00524307">
        <w:rPr>
          <w:rFonts w:ascii="Bookman Old Style" w:eastAsia="Times New Roman" w:hAnsi="Bookman Old Style"/>
        </w:rPr>
        <w:t>Diario de Madryn</w:t>
      </w:r>
      <w:r>
        <w:rPr>
          <w:rFonts w:ascii="Bookman Old Style" w:eastAsia="Times New Roman" w:hAnsi="Bookman Old Style"/>
        </w:rPr>
        <w:t>”</w:t>
      </w:r>
      <w:r w:rsidR="00524307">
        <w:rPr>
          <w:rFonts w:ascii="Bookman Old Style" w:eastAsia="Times New Roman" w:hAnsi="Bookman Old Style"/>
        </w:rPr>
        <w:t>, de fecha 09 de julio de 2018,</w:t>
      </w:r>
      <w:r w:rsidR="00DB52D4">
        <w:rPr>
          <w:rFonts w:ascii="Bookman Old Style" w:eastAsia="Times New Roman" w:hAnsi="Bookman Old Style"/>
        </w:rPr>
        <w:t xml:space="preserve"> donde</w:t>
      </w:r>
      <w:r w:rsidR="00524307">
        <w:rPr>
          <w:rFonts w:ascii="Bookman Old Style" w:eastAsia="Times New Roman" w:hAnsi="Bookman Old Style"/>
        </w:rPr>
        <w:t xml:space="preserve"> la funcionaria capitalina Ana AMATO advierte expresamente</w:t>
      </w:r>
      <w:r w:rsidR="00DB52D4">
        <w:rPr>
          <w:rFonts w:ascii="Bookman Old Style" w:eastAsia="Times New Roman" w:hAnsi="Bookman Old Style"/>
        </w:rPr>
        <w:t>, en relación al</w:t>
      </w:r>
      <w:r w:rsidR="00524307">
        <w:rPr>
          <w:rFonts w:ascii="Bookman Old Style" w:eastAsia="Times New Roman" w:hAnsi="Bookman Old Style"/>
        </w:rPr>
        <w:t xml:space="preserve"> proyecto de la firma ARCANTE S.A.</w:t>
      </w:r>
      <w:r>
        <w:rPr>
          <w:rFonts w:ascii="Bookman Old Style" w:eastAsia="Times New Roman" w:hAnsi="Bookman Old Style"/>
        </w:rPr>
        <w:t xml:space="preserve"> -a la cual se refiere </w:t>
      </w:r>
      <w:r w:rsidR="00E33EED">
        <w:rPr>
          <w:rFonts w:ascii="Bookman Old Style" w:eastAsia="Times New Roman" w:hAnsi="Bookman Old Style"/>
        </w:rPr>
        <w:t xml:space="preserve">solo </w:t>
      </w:r>
      <w:r>
        <w:rPr>
          <w:rFonts w:ascii="Bookman Old Style" w:eastAsia="Times New Roman" w:hAnsi="Bookman Old Style"/>
        </w:rPr>
        <w:t>con adjetivos calificativos positivos a pesar de no contar con la habilitación correspondiente-:</w:t>
      </w:r>
      <w:r w:rsidR="00524307">
        <w:rPr>
          <w:rFonts w:ascii="Bookman Old Style" w:eastAsia="Times New Roman" w:hAnsi="Bookman Old Style"/>
        </w:rPr>
        <w:t xml:space="preserve"> </w:t>
      </w:r>
      <w:r w:rsidR="00524307" w:rsidRPr="00DB52D4">
        <w:rPr>
          <w:rFonts w:ascii="Bookman Old Style" w:eastAsia="Times New Roman" w:hAnsi="Bookman Old Style"/>
          <w:i/>
        </w:rPr>
        <w:t>“…</w:t>
      </w:r>
      <w:r w:rsidR="00DB52D4" w:rsidRPr="00DB52D4">
        <w:rPr>
          <w:rFonts w:ascii="Bookman Old Style" w:eastAsia="Times New Roman" w:hAnsi="Bookman Old Style"/>
          <w:i/>
        </w:rPr>
        <w:t>está</w:t>
      </w:r>
      <w:r w:rsidR="00524307" w:rsidRPr="00DB52D4">
        <w:rPr>
          <w:rFonts w:ascii="Bookman Old Style" w:eastAsia="Times New Roman" w:hAnsi="Bookman Old Style"/>
          <w:i/>
        </w:rPr>
        <w:t xml:space="preserve"> muy </w:t>
      </w:r>
      <w:r w:rsidR="00524307" w:rsidRPr="00E33EED">
        <w:rPr>
          <w:rFonts w:ascii="Bookman Old Style" w:eastAsia="Times New Roman" w:hAnsi="Bookman Old Style"/>
          <w:i/>
          <w:u w:val="single"/>
        </w:rPr>
        <w:t>avanzado en las gestiones de la habilitación definitiva</w:t>
      </w:r>
      <w:r w:rsidR="00DB52D4">
        <w:rPr>
          <w:rFonts w:ascii="Bookman Old Style" w:eastAsia="Times New Roman" w:hAnsi="Bookman Old Style"/>
        </w:rPr>
        <w:t>…</w:t>
      </w:r>
      <w:r w:rsidR="00E33EED">
        <w:rPr>
          <w:rFonts w:ascii="Bookman Old Style" w:eastAsia="Times New Roman" w:hAnsi="Bookman Old Style"/>
        </w:rPr>
        <w:t>” y “…</w:t>
      </w:r>
      <w:r w:rsidRPr="00493B48">
        <w:rPr>
          <w:rFonts w:ascii="Bookman Old Style" w:eastAsia="Times New Roman" w:hAnsi="Bookman Old Style"/>
          <w:i/>
        </w:rPr>
        <w:t xml:space="preserve">allí es donde </w:t>
      </w:r>
      <w:r w:rsidRPr="00E33EED">
        <w:rPr>
          <w:rFonts w:ascii="Bookman Old Style" w:eastAsia="Times New Roman" w:hAnsi="Bookman Old Style"/>
          <w:i/>
          <w:u w:val="single"/>
        </w:rPr>
        <w:t>se reciben</w:t>
      </w:r>
      <w:r w:rsidRPr="00493B48">
        <w:rPr>
          <w:rFonts w:ascii="Bookman Old Style" w:eastAsia="Times New Roman" w:hAnsi="Bookman Old Style"/>
          <w:i/>
        </w:rPr>
        <w:t xml:space="preserve"> la mayoría de los residuos sólidos de las pesqueras…</w:t>
      </w:r>
      <w:r>
        <w:rPr>
          <w:rFonts w:ascii="Bookman Old Style" w:eastAsia="Times New Roman" w:hAnsi="Bookman Old Style"/>
        </w:rPr>
        <w:t>”</w:t>
      </w:r>
      <w:r w:rsidR="00E33EED">
        <w:rPr>
          <w:rFonts w:ascii="Bookman Old Style" w:eastAsia="Times New Roman" w:hAnsi="Bookman Old Style"/>
        </w:rPr>
        <w:t>,</w:t>
      </w:r>
      <w:r w:rsidR="00DB52D4">
        <w:rPr>
          <w:rFonts w:ascii="Bookman Old Style" w:eastAsia="Times New Roman" w:hAnsi="Bookman Old Style"/>
        </w:rPr>
        <w:t xml:space="preserve"> d</w:t>
      </w:r>
      <w:r w:rsidR="00524307">
        <w:rPr>
          <w:rFonts w:ascii="Bookman Old Style" w:eastAsia="Times New Roman" w:hAnsi="Bookman Old Style"/>
        </w:rPr>
        <w:t xml:space="preserve">e lo cual se </w:t>
      </w:r>
      <w:r w:rsidR="00E33EED">
        <w:rPr>
          <w:rFonts w:ascii="Bookman Old Style" w:eastAsia="Times New Roman" w:hAnsi="Bookman Old Style"/>
        </w:rPr>
        <w:t xml:space="preserve">desprende indudablemente que </w:t>
      </w:r>
      <w:r w:rsidR="00DB52D4">
        <w:rPr>
          <w:rFonts w:ascii="Bookman Old Style" w:eastAsia="Times New Roman" w:hAnsi="Bookman Old Style"/>
        </w:rPr>
        <w:t xml:space="preserve">dicho proyecto no solo no tendría la debida y </w:t>
      </w:r>
      <w:r w:rsidR="00747317">
        <w:rPr>
          <w:rFonts w:ascii="Bookman Old Style" w:eastAsia="Times New Roman" w:hAnsi="Bookman Old Style"/>
        </w:rPr>
        <w:t>correspondiente</w:t>
      </w:r>
      <w:r w:rsidR="00DB52D4">
        <w:rPr>
          <w:rFonts w:ascii="Bookman Old Style" w:eastAsia="Times New Roman" w:hAnsi="Bookman Old Style"/>
        </w:rPr>
        <w:t xml:space="preserve"> habilitación sino, además, que estaría</w:t>
      </w:r>
      <w:r w:rsidR="00524307">
        <w:rPr>
          <w:rFonts w:ascii="Bookman Old Style" w:eastAsia="Times New Roman" w:hAnsi="Bookman Old Style"/>
        </w:rPr>
        <w:t xml:space="preserve"> trabajando </w:t>
      </w:r>
      <w:r w:rsidR="00DB52D4">
        <w:rPr>
          <w:rFonts w:ascii="Bookman Old Style" w:eastAsia="Times New Roman" w:hAnsi="Bookman Old Style"/>
        </w:rPr>
        <w:t xml:space="preserve">clandestinamente, esto es, </w:t>
      </w:r>
      <w:r w:rsidR="00524307">
        <w:rPr>
          <w:rFonts w:ascii="Bookman Old Style" w:eastAsia="Times New Roman" w:hAnsi="Bookman Old Style"/>
        </w:rPr>
        <w:t>sin tener la aprobación f</w:t>
      </w:r>
      <w:r w:rsidR="00DB52D4">
        <w:rPr>
          <w:rFonts w:ascii="Bookman Old Style" w:eastAsia="Times New Roman" w:hAnsi="Bookman Old Style"/>
        </w:rPr>
        <w:t xml:space="preserve">inal del Ministerio de Ambiente, órgano </w:t>
      </w:r>
      <w:r w:rsidR="004A42C6">
        <w:rPr>
          <w:rFonts w:ascii="Bookman Old Style" w:eastAsia="Times New Roman" w:hAnsi="Bookman Old Style"/>
        </w:rPr>
        <w:t xml:space="preserve">de control y fiscalización </w:t>
      </w:r>
      <w:r w:rsidR="00DB52D4">
        <w:rPr>
          <w:rFonts w:ascii="Bookman Old Style" w:eastAsia="Times New Roman" w:hAnsi="Bookman Old Style"/>
        </w:rPr>
        <w:t>y</w:t>
      </w:r>
      <w:r w:rsidR="004A42C6">
        <w:rPr>
          <w:rFonts w:ascii="Bookman Old Style" w:eastAsia="Times New Roman" w:hAnsi="Bookman Old Style"/>
        </w:rPr>
        <w:t>/o</w:t>
      </w:r>
      <w:r w:rsidR="00DB52D4">
        <w:rPr>
          <w:rFonts w:ascii="Bookman Old Style" w:eastAsia="Times New Roman" w:hAnsi="Bookman Old Style"/>
        </w:rPr>
        <w:t xml:space="preserve"> autoridad de aplicación de toda la normativa vigente en relación a tal actividad.</w:t>
      </w:r>
    </w:p>
    <w:p w:rsidR="00DE4B7B" w:rsidRPr="00765129" w:rsidRDefault="004A42C6" w:rsidP="00DE4B7B">
      <w:pPr>
        <w:spacing w:after="0" w:line="360" w:lineRule="auto"/>
        <w:ind w:firstLine="2127"/>
        <w:jc w:val="both"/>
        <w:rPr>
          <w:rFonts w:ascii="Bookman Old Style" w:eastAsia="Times New Roman" w:hAnsi="Bookman Old Style"/>
          <w:b/>
        </w:rPr>
      </w:pPr>
      <w:r>
        <w:rPr>
          <w:rFonts w:ascii="Bookman Old Style" w:eastAsia="Times New Roman" w:hAnsi="Bookman Old Style"/>
          <w:b/>
        </w:rPr>
        <w:t>Entonces, en virtud de lo expuesto, es lógico concluir</w:t>
      </w:r>
      <w:r w:rsidR="00384443">
        <w:rPr>
          <w:rFonts w:ascii="Bookman Old Style" w:eastAsia="Times New Roman" w:hAnsi="Bookman Old Style"/>
          <w:b/>
        </w:rPr>
        <w:t xml:space="preserve"> </w:t>
      </w:r>
      <w:r w:rsidR="00495A08" w:rsidRPr="00765129">
        <w:rPr>
          <w:rFonts w:ascii="Bookman Old Style" w:eastAsia="Times New Roman" w:hAnsi="Bookman Old Style"/>
          <w:b/>
        </w:rPr>
        <w:t>que el emprendimient</w:t>
      </w:r>
      <w:r w:rsidR="00765129" w:rsidRPr="00765129">
        <w:rPr>
          <w:rFonts w:ascii="Bookman Old Style" w:eastAsia="Times New Roman" w:hAnsi="Bookman Old Style"/>
          <w:b/>
        </w:rPr>
        <w:t xml:space="preserve">o de </w:t>
      </w:r>
      <w:r w:rsidR="00495A08" w:rsidRPr="00765129">
        <w:rPr>
          <w:rFonts w:ascii="Bookman Old Style" w:eastAsia="Times New Roman" w:hAnsi="Bookman Old Style"/>
          <w:b/>
        </w:rPr>
        <w:t xml:space="preserve">la empresa ARCANTE S.A. </w:t>
      </w:r>
      <w:r w:rsidR="00765129" w:rsidRPr="00765129">
        <w:rPr>
          <w:rFonts w:ascii="Bookman Old Style" w:eastAsia="Times New Roman" w:hAnsi="Bookman Old Style"/>
          <w:b/>
        </w:rPr>
        <w:t>se encuentra</w:t>
      </w:r>
      <w:r>
        <w:rPr>
          <w:rFonts w:ascii="Bookman Old Style" w:eastAsia="Times New Roman" w:hAnsi="Bookman Old Style"/>
          <w:b/>
        </w:rPr>
        <w:t xml:space="preserve"> funcionando clandestinamente toda vez que no ha concluido </w:t>
      </w:r>
      <w:r w:rsidR="00765129" w:rsidRPr="00765129">
        <w:rPr>
          <w:rFonts w:ascii="Bookman Old Style" w:eastAsia="Times New Roman" w:hAnsi="Bookman Old Style"/>
          <w:b/>
        </w:rPr>
        <w:t>el procedimiento técnico- administrativo de evaluación de impacto ambiental, de conformidad a</w:t>
      </w:r>
      <w:r>
        <w:rPr>
          <w:rFonts w:ascii="Bookman Old Style" w:eastAsia="Times New Roman" w:hAnsi="Bookman Old Style"/>
          <w:b/>
        </w:rPr>
        <w:t xml:space="preserve"> lo establecido en la Ley N° 25.612, 25.675,</w:t>
      </w:r>
      <w:r w:rsidR="00765129" w:rsidRPr="00765129">
        <w:rPr>
          <w:rFonts w:ascii="Bookman Old Style" w:eastAsia="Times New Roman" w:hAnsi="Bookman Old Style"/>
          <w:b/>
        </w:rPr>
        <w:t xml:space="preserve"> la Ley XI N° 35  y el Decreto 185/09.</w:t>
      </w:r>
    </w:p>
    <w:p w:rsidR="004C228F" w:rsidRDefault="00384443"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 xml:space="preserve">A mayor abundamiento y, como </w:t>
      </w:r>
      <w:r w:rsidR="004A42C6">
        <w:rPr>
          <w:rFonts w:ascii="Bookman Old Style" w:eastAsia="Times New Roman" w:hAnsi="Bookman Old Style"/>
        </w:rPr>
        <w:t>fue de público conocimiento,</w:t>
      </w:r>
      <w:r w:rsidR="004C228F" w:rsidRPr="00FF65F3">
        <w:rPr>
          <w:rFonts w:ascii="Bookman Old Style" w:eastAsia="Times New Roman" w:hAnsi="Bookman Old Style"/>
        </w:rPr>
        <w:t xml:space="preserve"> para efectuar el Centro de Disposición Final de Residuos Sólidos Urbanos</w:t>
      </w:r>
      <w:r w:rsidR="00E55AB7" w:rsidRPr="00FF65F3">
        <w:rPr>
          <w:rFonts w:ascii="Bookman Old Style" w:eastAsia="Times New Roman" w:hAnsi="Bookman Old Style"/>
        </w:rPr>
        <w:t xml:space="preserve"> (Planta GIRSU de Ruta 3)</w:t>
      </w:r>
      <w:r w:rsidR="004C228F" w:rsidRPr="00FF65F3">
        <w:rPr>
          <w:rFonts w:ascii="Bookman Old Style" w:eastAsia="Times New Roman" w:hAnsi="Bookman Old Style"/>
        </w:rPr>
        <w:t xml:space="preserve"> el proyecto fue sometido a Audiencia Pública</w:t>
      </w:r>
      <w:r>
        <w:rPr>
          <w:rFonts w:ascii="Bookman Old Style" w:eastAsia="Times New Roman" w:hAnsi="Bookman Old Style"/>
        </w:rPr>
        <w:t xml:space="preserve"> tal como lo exige la normativa vigente</w:t>
      </w:r>
      <w:r w:rsidR="004C228F" w:rsidRPr="00FF65F3">
        <w:rPr>
          <w:rFonts w:ascii="Bookman Old Style" w:eastAsia="Times New Roman" w:hAnsi="Bookman Old Style"/>
        </w:rPr>
        <w:t>, razón por la cual infiero que un emprendimiento</w:t>
      </w:r>
      <w:r w:rsidR="004A42C6">
        <w:rPr>
          <w:rFonts w:ascii="Bookman Old Style" w:eastAsia="Times New Roman" w:hAnsi="Bookman Old Style"/>
        </w:rPr>
        <w:t xml:space="preserve"> -de la misma naturaleza-</w:t>
      </w:r>
      <w:r w:rsidR="004C228F" w:rsidRPr="00FF65F3">
        <w:rPr>
          <w:rFonts w:ascii="Bookman Old Style" w:eastAsia="Times New Roman" w:hAnsi="Bookman Old Style"/>
        </w:rPr>
        <w:t xml:space="preserve"> que recibe</w:t>
      </w:r>
      <w:r w:rsidR="00E55AB7" w:rsidRPr="00FF65F3">
        <w:rPr>
          <w:rFonts w:ascii="Bookman Old Style" w:eastAsia="Times New Roman" w:hAnsi="Bookman Old Style"/>
        </w:rPr>
        <w:t xml:space="preserve"> casi la misma cantidad de toneladas de</w:t>
      </w:r>
      <w:r w:rsidR="004C228F" w:rsidRPr="00FF65F3">
        <w:rPr>
          <w:rFonts w:ascii="Bookman Old Style" w:eastAsia="Times New Roman" w:hAnsi="Bookman Old Style"/>
        </w:rPr>
        <w:t xml:space="preserve"> </w:t>
      </w:r>
      <w:r w:rsidR="00E55AB7" w:rsidRPr="00FF65F3">
        <w:rPr>
          <w:rFonts w:ascii="Bookman Old Style" w:eastAsia="Times New Roman" w:hAnsi="Bookman Old Style"/>
        </w:rPr>
        <w:t>residuos sólidos org</w:t>
      </w:r>
      <w:r w:rsidR="004A42C6">
        <w:rPr>
          <w:rFonts w:ascii="Bookman Old Style" w:eastAsia="Times New Roman" w:hAnsi="Bookman Old Style"/>
        </w:rPr>
        <w:t>ánicos de la industria pesquera</w:t>
      </w:r>
      <w:r w:rsidR="00E55AB7" w:rsidRPr="00FF65F3">
        <w:rPr>
          <w:rFonts w:ascii="Bookman Old Style" w:eastAsia="Times New Roman" w:hAnsi="Bookman Old Style"/>
        </w:rPr>
        <w:t xml:space="preserve"> que </w:t>
      </w:r>
      <w:r w:rsidR="00765129">
        <w:rPr>
          <w:rFonts w:ascii="Bookman Old Style" w:eastAsia="Times New Roman" w:hAnsi="Bookman Old Style"/>
        </w:rPr>
        <w:t xml:space="preserve">el que </w:t>
      </w:r>
      <w:r w:rsidR="00A71B59" w:rsidRPr="00FF65F3">
        <w:rPr>
          <w:rFonts w:ascii="Bookman Old Style" w:eastAsia="Times New Roman" w:hAnsi="Bookman Old Style"/>
        </w:rPr>
        <w:t>rec</w:t>
      </w:r>
      <w:r w:rsidR="004A42C6">
        <w:rPr>
          <w:rFonts w:ascii="Bookman Old Style" w:eastAsia="Times New Roman" w:hAnsi="Bookman Old Style"/>
        </w:rPr>
        <w:t xml:space="preserve">ibe el predio </w:t>
      </w:r>
      <w:r w:rsidR="00A71B59" w:rsidRPr="00FF65F3">
        <w:rPr>
          <w:rFonts w:ascii="Bookman Old Style" w:eastAsia="Times New Roman" w:hAnsi="Bookman Old Style"/>
        </w:rPr>
        <w:t>GIRSU</w:t>
      </w:r>
      <w:r w:rsidR="00E55AB7" w:rsidRPr="00FF65F3">
        <w:rPr>
          <w:rFonts w:ascii="Bookman Old Style" w:eastAsia="Times New Roman" w:hAnsi="Bookman Old Style"/>
        </w:rPr>
        <w:t xml:space="preserve"> </w:t>
      </w:r>
      <w:r w:rsidR="004A42C6">
        <w:rPr>
          <w:rFonts w:ascii="Bookman Old Style" w:eastAsia="Times New Roman" w:hAnsi="Bookman Old Style"/>
        </w:rPr>
        <w:t xml:space="preserve">–ubicado en la ruta N° 3- </w:t>
      </w:r>
      <w:r w:rsidR="00A71B59" w:rsidRPr="00FF65F3">
        <w:rPr>
          <w:rFonts w:ascii="Bookman Old Style" w:eastAsia="Times New Roman" w:hAnsi="Bookman Old Style"/>
        </w:rPr>
        <w:t xml:space="preserve">que </w:t>
      </w:r>
      <w:r w:rsidR="00E55AB7" w:rsidRPr="00FF65F3">
        <w:rPr>
          <w:rFonts w:ascii="Bookman Old Style" w:eastAsia="Times New Roman" w:hAnsi="Bookman Old Style"/>
        </w:rPr>
        <w:t>genera la ciudad de Trelew</w:t>
      </w:r>
      <w:r w:rsidR="00014D7D">
        <w:rPr>
          <w:rFonts w:ascii="Bookman Old Style" w:eastAsia="Times New Roman" w:hAnsi="Bookman Old Style"/>
        </w:rPr>
        <w:t xml:space="preserve"> de residuos sólidos urbanos</w:t>
      </w:r>
      <w:r w:rsidR="00E55AB7" w:rsidRPr="00FF65F3">
        <w:rPr>
          <w:rFonts w:ascii="Bookman Old Style" w:eastAsia="Times New Roman" w:hAnsi="Bookman Old Style"/>
        </w:rPr>
        <w:t>, debería atr</w:t>
      </w:r>
      <w:r w:rsidR="004A42C6">
        <w:rPr>
          <w:rFonts w:ascii="Bookman Old Style" w:eastAsia="Times New Roman" w:hAnsi="Bookman Old Style"/>
        </w:rPr>
        <w:t>avesar el mismo procedimiento, conforme lo señala e</w:t>
      </w:r>
      <w:r w:rsidR="00765129">
        <w:rPr>
          <w:rFonts w:ascii="Bookman Old Style" w:eastAsia="Times New Roman" w:hAnsi="Bookman Old Style"/>
        </w:rPr>
        <w:t>l dictam</w:t>
      </w:r>
      <w:r w:rsidR="004A42C6">
        <w:rPr>
          <w:rFonts w:ascii="Bookman Old Style" w:eastAsia="Times New Roman" w:hAnsi="Bookman Old Style"/>
        </w:rPr>
        <w:t>en</w:t>
      </w:r>
      <w:r w:rsidR="004A42C6" w:rsidRPr="004A42C6">
        <w:rPr>
          <w:rFonts w:ascii="Bookman Old Style" w:eastAsia="Times New Roman" w:hAnsi="Bookman Old Style"/>
        </w:rPr>
        <w:t xml:space="preserve"> </w:t>
      </w:r>
      <w:r w:rsidR="004A42C6" w:rsidRPr="00DE4B7B">
        <w:rPr>
          <w:rFonts w:ascii="Bookman Old Style" w:eastAsia="Times New Roman" w:hAnsi="Bookman Old Style"/>
        </w:rPr>
        <w:t>N° 218/18-DGAL</w:t>
      </w:r>
      <w:r w:rsidR="004A42C6">
        <w:rPr>
          <w:rFonts w:ascii="Bookman Old Style" w:eastAsia="Times New Roman" w:hAnsi="Bookman Old Style"/>
        </w:rPr>
        <w:t>yNA-MAyCDS, ya citado.</w:t>
      </w:r>
    </w:p>
    <w:p w:rsidR="00C1319C" w:rsidRPr="00FF65F3" w:rsidRDefault="00C1319C"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Como surge de lo expresado en el presente escrito, nos encontramos ante la inexistencia de un EIA,</w:t>
      </w:r>
      <w:r w:rsidR="0047577E">
        <w:rPr>
          <w:rFonts w:ascii="Bookman Old Style" w:eastAsia="Times New Roman" w:hAnsi="Bookman Old Style"/>
        </w:rPr>
        <w:t xml:space="preserve"> es decir, ante un liso y llano incumplimiento de una expresa exigencia legal y, en efecto, ante</w:t>
      </w:r>
      <w:r>
        <w:rPr>
          <w:rFonts w:ascii="Bookman Old Style" w:eastAsia="Times New Roman" w:hAnsi="Bookman Old Style"/>
        </w:rPr>
        <w:t xml:space="preserve"> la ejecución de una actividad clandestina</w:t>
      </w:r>
      <w:r w:rsidR="0047577E">
        <w:rPr>
          <w:rFonts w:ascii="Bookman Old Style" w:eastAsia="Times New Roman" w:hAnsi="Bookman Old Style"/>
        </w:rPr>
        <w:t xml:space="preserve">; entonces, a raíz de tales circunstancias se nos impone como ciudadanos </w:t>
      </w:r>
      <w:r>
        <w:rPr>
          <w:rFonts w:ascii="Bookman Old Style" w:eastAsia="Times New Roman" w:hAnsi="Bookman Old Style"/>
        </w:rPr>
        <w:t xml:space="preserve">la necesidad imperiosa </w:t>
      </w:r>
      <w:r w:rsidR="00CE04BB">
        <w:rPr>
          <w:rFonts w:ascii="Bookman Old Style" w:eastAsia="Times New Roman" w:hAnsi="Bookman Old Style"/>
        </w:rPr>
        <w:t xml:space="preserve">y el deber </w:t>
      </w:r>
      <w:r>
        <w:rPr>
          <w:rFonts w:ascii="Bookman Old Style" w:eastAsia="Times New Roman" w:hAnsi="Bookman Old Style"/>
        </w:rPr>
        <w:t xml:space="preserve">de </w:t>
      </w:r>
      <w:r w:rsidR="00CE04BB">
        <w:rPr>
          <w:rFonts w:ascii="Bookman Old Style" w:eastAsia="Times New Roman" w:hAnsi="Bookman Old Style"/>
        </w:rPr>
        <w:t xml:space="preserve">hacer lo que esté a nuestro alcance para </w:t>
      </w:r>
      <w:r>
        <w:rPr>
          <w:rFonts w:ascii="Bookman Old Style" w:eastAsia="Times New Roman" w:hAnsi="Bookman Old Style"/>
        </w:rPr>
        <w:t>detener el eventual daño ambiental</w:t>
      </w:r>
      <w:r w:rsidR="00CE04BB">
        <w:rPr>
          <w:rFonts w:ascii="Bookman Old Style" w:eastAsia="Times New Roman" w:hAnsi="Bookman Old Style"/>
        </w:rPr>
        <w:t xml:space="preserve"> -fundamentalmente por razones de solidaridad intergeneracional, entre otras-</w:t>
      </w:r>
      <w:r>
        <w:rPr>
          <w:rFonts w:ascii="Bookman Old Style" w:eastAsia="Times New Roman" w:hAnsi="Bookman Old Style"/>
        </w:rPr>
        <w:t xml:space="preserve"> </w:t>
      </w:r>
      <w:r w:rsidR="0047577E">
        <w:rPr>
          <w:rFonts w:ascii="Bookman Old Style" w:eastAsia="Times New Roman" w:hAnsi="Bookman Old Style"/>
        </w:rPr>
        <w:t xml:space="preserve">lo que nos lleva a exigir que se cumpla en todos sus </w:t>
      </w:r>
      <w:r w:rsidR="009574F7">
        <w:rPr>
          <w:rFonts w:ascii="Bookman Old Style" w:eastAsia="Times New Roman" w:hAnsi="Bookman Old Style"/>
        </w:rPr>
        <w:t>términos</w:t>
      </w:r>
      <w:r w:rsidR="0047577E">
        <w:rPr>
          <w:rFonts w:ascii="Bookman Old Style" w:eastAsia="Times New Roman" w:hAnsi="Bookman Old Style"/>
        </w:rPr>
        <w:t xml:space="preserve"> los requerimientos establecidos en el</w:t>
      </w:r>
      <w:r>
        <w:rPr>
          <w:rFonts w:ascii="Bookman Old Style" w:eastAsia="Times New Roman" w:hAnsi="Bookman Old Style"/>
        </w:rPr>
        <w:t xml:space="preserve"> procedimiento</w:t>
      </w:r>
      <w:r w:rsidR="0047577E">
        <w:rPr>
          <w:rFonts w:ascii="Bookman Old Style" w:eastAsia="Times New Roman" w:hAnsi="Bookman Old Style"/>
        </w:rPr>
        <w:t xml:space="preserve"> legal</w:t>
      </w:r>
      <w:r w:rsidR="00073D42">
        <w:rPr>
          <w:rFonts w:ascii="Bookman Old Style" w:eastAsia="Times New Roman" w:hAnsi="Bookman Old Style"/>
        </w:rPr>
        <w:t xml:space="preserve"> </w:t>
      </w:r>
      <w:r w:rsidR="009574F7">
        <w:rPr>
          <w:rFonts w:ascii="Bookman Old Style" w:eastAsia="Times New Roman" w:hAnsi="Bookman Old Style"/>
        </w:rPr>
        <w:t xml:space="preserve">a los fines de que </w:t>
      </w:r>
      <w:r w:rsidR="00073D42">
        <w:rPr>
          <w:rFonts w:ascii="Bookman Old Style" w:eastAsia="Times New Roman" w:hAnsi="Bookman Old Style"/>
        </w:rPr>
        <w:t>el proyecto cuestionado en la presente pueda realizar su actividad legalmente</w:t>
      </w:r>
      <w:r w:rsidR="009574F7">
        <w:rPr>
          <w:rFonts w:ascii="Bookman Old Style" w:eastAsia="Times New Roman" w:hAnsi="Bookman Old Style"/>
        </w:rPr>
        <w:t xml:space="preserve">. Ello </w:t>
      </w:r>
      <w:r w:rsidR="00BE6286">
        <w:rPr>
          <w:rFonts w:ascii="Bookman Old Style" w:eastAsia="Times New Roman" w:hAnsi="Bookman Old Style"/>
        </w:rPr>
        <w:t xml:space="preserve">resulta </w:t>
      </w:r>
      <w:r w:rsidR="009574F7">
        <w:rPr>
          <w:rFonts w:ascii="Bookman Old Style" w:eastAsia="Times New Roman" w:hAnsi="Bookman Old Style"/>
        </w:rPr>
        <w:t xml:space="preserve">así, </w:t>
      </w:r>
      <w:r w:rsidR="00073D42">
        <w:rPr>
          <w:rFonts w:ascii="Bookman Old Style" w:eastAsia="Times New Roman" w:hAnsi="Bookman Old Style"/>
        </w:rPr>
        <w:t xml:space="preserve">toda vez que </w:t>
      </w:r>
      <w:r w:rsidR="009574F7">
        <w:rPr>
          <w:rFonts w:ascii="Bookman Old Style" w:eastAsia="Times New Roman" w:hAnsi="Bookman Old Style"/>
        </w:rPr>
        <w:t>el procedimiento</w:t>
      </w:r>
      <w:r w:rsidR="00BE6286">
        <w:rPr>
          <w:rFonts w:ascii="Bookman Old Style" w:eastAsia="Times New Roman" w:hAnsi="Bookman Old Style"/>
        </w:rPr>
        <w:t xml:space="preserve"> se establece </w:t>
      </w:r>
      <w:r w:rsidR="0047577E">
        <w:rPr>
          <w:rFonts w:ascii="Bookman Old Style" w:eastAsia="Times New Roman" w:hAnsi="Bookman Old Style"/>
        </w:rPr>
        <w:t>p</w:t>
      </w:r>
      <w:r w:rsidR="00BE6286">
        <w:rPr>
          <w:rFonts w:ascii="Bookman Old Style" w:eastAsia="Times New Roman" w:hAnsi="Bookman Old Style"/>
        </w:rPr>
        <w:t>ara</w:t>
      </w:r>
      <w:r w:rsidR="00CE04BB">
        <w:rPr>
          <w:rFonts w:ascii="Bookman Old Style" w:eastAsia="Times New Roman" w:hAnsi="Bookman Old Style"/>
        </w:rPr>
        <w:t xml:space="preserve"> minimizar los riesgos ambientales </w:t>
      </w:r>
      <w:r w:rsidR="00BE6286">
        <w:rPr>
          <w:rFonts w:ascii="Bookman Old Style" w:eastAsia="Times New Roman" w:hAnsi="Bookman Old Style"/>
        </w:rPr>
        <w:t>y</w:t>
      </w:r>
      <w:r w:rsidR="0047577E">
        <w:rPr>
          <w:rFonts w:ascii="Bookman Old Style" w:eastAsia="Times New Roman" w:hAnsi="Bookman Old Style"/>
        </w:rPr>
        <w:t xml:space="preserve"> </w:t>
      </w:r>
      <w:r w:rsidR="00BE6286">
        <w:rPr>
          <w:rFonts w:ascii="Bookman Old Style" w:eastAsia="Times New Roman" w:hAnsi="Bookman Old Style"/>
        </w:rPr>
        <w:t xml:space="preserve">tratar de </w:t>
      </w:r>
      <w:r w:rsidR="0047577E">
        <w:rPr>
          <w:rFonts w:ascii="Bookman Old Style" w:eastAsia="Times New Roman" w:hAnsi="Bookman Old Style"/>
        </w:rPr>
        <w:t>garantizar</w:t>
      </w:r>
      <w:r w:rsidR="00BE6286">
        <w:rPr>
          <w:rFonts w:ascii="Bookman Old Style" w:eastAsia="Times New Roman" w:hAnsi="Bookman Old Style"/>
        </w:rPr>
        <w:t xml:space="preserve"> con ello,</w:t>
      </w:r>
      <w:r w:rsidR="0047577E">
        <w:rPr>
          <w:rFonts w:ascii="Bookman Old Style" w:eastAsia="Times New Roman" w:hAnsi="Bookman Old Style"/>
        </w:rPr>
        <w:t xml:space="preserve"> </w:t>
      </w:r>
      <w:r w:rsidR="00BE6286">
        <w:rPr>
          <w:rFonts w:ascii="Bookman Old Style" w:eastAsia="Times New Roman" w:hAnsi="Bookman Old Style"/>
        </w:rPr>
        <w:t xml:space="preserve">lo más ampliamente posible, </w:t>
      </w:r>
      <w:r w:rsidR="0047577E">
        <w:rPr>
          <w:rFonts w:ascii="Bookman Old Style" w:eastAsia="Times New Roman" w:hAnsi="Bookman Old Style"/>
        </w:rPr>
        <w:t xml:space="preserve">el derecho humano fundamental </w:t>
      </w:r>
      <w:r w:rsidR="00CE04BB">
        <w:rPr>
          <w:rFonts w:ascii="Bookman Old Style" w:eastAsia="Times New Roman" w:hAnsi="Bookman Old Style"/>
        </w:rPr>
        <w:t>a un medio ambiente sano</w:t>
      </w:r>
      <w:r w:rsidR="00BE6286">
        <w:rPr>
          <w:rFonts w:ascii="Bookman Old Style" w:eastAsia="Times New Roman" w:hAnsi="Bookman Old Style"/>
        </w:rPr>
        <w:t xml:space="preserve">. De este modo y solo así, ajustándose a derecho, se podría obtener </w:t>
      </w:r>
      <w:r>
        <w:rPr>
          <w:rFonts w:ascii="Bookman Old Style" w:eastAsia="Times New Roman" w:hAnsi="Bookman Old Style"/>
        </w:rPr>
        <w:t>la correspo</w:t>
      </w:r>
      <w:r w:rsidR="00EB166C">
        <w:rPr>
          <w:rFonts w:ascii="Bookman Old Style" w:eastAsia="Times New Roman" w:hAnsi="Bookman Old Style"/>
        </w:rPr>
        <w:t>ndient</w:t>
      </w:r>
      <w:r w:rsidR="008409CA">
        <w:rPr>
          <w:rFonts w:ascii="Bookman Old Style" w:eastAsia="Times New Roman" w:hAnsi="Bookman Old Style"/>
        </w:rPr>
        <w:t xml:space="preserve">e habilitación definitiva </w:t>
      </w:r>
      <w:r w:rsidR="0047577E">
        <w:rPr>
          <w:rFonts w:ascii="Bookman Old Style" w:eastAsia="Times New Roman" w:hAnsi="Bookman Old Style"/>
        </w:rPr>
        <w:t>del proyecto, esto es,</w:t>
      </w:r>
      <w:r w:rsidR="008409CA">
        <w:rPr>
          <w:rFonts w:ascii="Bookman Old Style" w:eastAsia="Times New Roman" w:hAnsi="Bookman Old Style"/>
        </w:rPr>
        <w:t xml:space="preserve"> de conformidad con </w:t>
      </w:r>
      <w:r w:rsidR="00384443">
        <w:rPr>
          <w:rFonts w:ascii="Bookman Old Style" w:eastAsia="Times New Roman" w:hAnsi="Bookman Old Style"/>
        </w:rPr>
        <w:t xml:space="preserve">el </w:t>
      </w:r>
      <w:r w:rsidR="008409CA">
        <w:rPr>
          <w:rFonts w:ascii="Bookman Old Style" w:eastAsia="Times New Roman" w:hAnsi="Bookman Old Style"/>
        </w:rPr>
        <w:t>orden jurídico.</w:t>
      </w:r>
    </w:p>
    <w:p w:rsidR="008136FF" w:rsidRDefault="00BE6286"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Deviene oportuno señalar que e</w:t>
      </w:r>
      <w:r w:rsidR="00C46BF2">
        <w:rPr>
          <w:rFonts w:ascii="Bookman Old Style" w:eastAsia="Times New Roman" w:hAnsi="Bookman Old Style"/>
        </w:rPr>
        <w:t xml:space="preserve">l derecho a un ambiente sano aparece reglado en la </w:t>
      </w:r>
      <w:r w:rsidR="00014D7D">
        <w:rPr>
          <w:rFonts w:ascii="Bookman Old Style" w:eastAsia="Times New Roman" w:hAnsi="Bookman Old Style"/>
        </w:rPr>
        <w:t>C</w:t>
      </w:r>
      <w:r w:rsidR="00C46BF2">
        <w:rPr>
          <w:rFonts w:ascii="Bookman Old Style" w:eastAsia="Times New Roman" w:hAnsi="Bookman Old Style"/>
        </w:rPr>
        <w:t xml:space="preserve">arta </w:t>
      </w:r>
      <w:r w:rsidR="00014D7D">
        <w:rPr>
          <w:rFonts w:ascii="Bookman Old Style" w:eastAsia="Times New Roman" w:hAnsi="Bookman Old Style"/>
        </w:rPr>
        <w:t>M</w:t>
      </w:r>
      <w:r w:rsidR="00C46BF2">
        <w:rPr>
          <w:rFonts w:ascii="Bookman Old Style" w:eastAsia="Times New Roman" w:hAnsi="Bookman Old Style"/>
        </w:rPr>
        <w:t xml:space="preserve">agna </w:t>
      </w:r>
      <w:r w:rsidR="00014D7D">
        <w:rPr>
          <w:rFonts w:ascii="Bookman Old Style" w:eastAsia="Times New Roman" w:hAnsi="Bookman Old Style"/>
        </w:rPr>
        <w:t>N</w:t>
      </w:r>
      <w:r w:rsidR="00C46BF2">
        <w:rPr>
          <w:rFonts w:ascii="Bookman Old Style" w:eastAsia="Times New Roman" w:hAnsi="Bookman Old Style"/>
        </w:rPr>
        <w:t xml:space="preserve">acional en el </w:t>
      </w:r>
      <w:r w:rsidR="00014D7D">
        <w:rPr>
          <w:rFonts w:ascii="Bookman Old Style" w:eastAsia="Times New Roman" w:hAnsi="Bookman Old Style"/>
        </w:rPr>
        <w:t>A</w:t>
      </w:r>
      <w:r w:rsidR="00C46BF2">
        <w:rPr>
          <w:rFonts w:ascii="Bookman Old Style" w:eastAsia="Times New Roman" w:hAnsi="Bookman Old Style"/>
        </w:rPr>
        <w:t>rtículo 41</w:t>
      </w:r>
      <w:r w:rsidR="00014D7D">
        <w:rPr>
          <w:rFonts w:ascii="Bookman Old Style" w:eastAsia="Times New Roman" w:hAnsi="Bookman Old Style"/>
        </w:rPr>
        <w:t>°</w:t>
      </w:r>
      <w:r w:rsidR="00C46BF2">
        <w:rPr>
          <w:rFonts w:ascii="Bookman Old Style" w:eastAsia="Times New Roman" w:hAnsi="Bookman Old Style"/>
        </w:rPr>
        <w:t>, por lo que no caben dudas que estamos ante un derecho humano fundamental. Y, cuando la violación al mismo es manifiesto se necesita de una urgente solución para restablecer la indemnidad del medio ambiente dañado y</w:t>
      </w:r>
      <w:r w:rsidR="00AF1569">
        <w:rPr>
          <w:rFonts w:ascii="Bookman Old Style" w:eastAsia="Times New Roman" w:hAnsi="Bookman Old Style"/>
        </w:rPr>
        <w:t>,</w:t>
      </w:r>
      <w:r w:rsidR="00C46BF2">
        <w:rPr>
          <w:rFonts w:ascii="Bookman Old Style" w:eastAsia="Times New Roman" w:hAnsi="Bookman Old Style"/>
        </w:rPr>
        <w:t xml:space="preserve"> el proceso más adecuado resultaría ser el</w:t>
      </w:r>
      <w:r w:rsidR="00AF1569">
        <w:rPr>
          <w:rFonts w:ascii="Bookman Old Style" w:eastAsia="Times New Roman" w:hAnsi="Bookman Old Style"/>
        </w:rPr>
        <w:t xml:space="preserve"> amparo, es decir, el amparo ambiental es el</w:t>
      </w:r>
      <w:r w:rsidR="00C46BF2">
        <w:rPr>
          <w:rFonts w:ascii="Bookman Old Style" w:eastAsia="Times New Roman" w:hAnsi="Bookman Old Style"/>
        </w:rPr>
        <w:t xml:space="preserve"> medio de protección inmediato y eficaz del derecho de naturaleza </w:t>
      </w:r>
      <w:r w:rsidR="00AF1569">
        <w:rPr>
          <w:rFonts w:ascii="Bookman Old Style" w:eastAsia="Times New Roman" w:hAnsi="Bookman Old Style"/>
        </w:rPr>
        <w:t>constitucional</w:t>
      </w:r>
      <w:r w:rsidR="00C46BF2">
        <w:rPr>
          <w:rFonts w:ascii="Bookman Old Style" w:eastAsia="Times New Roman" w:hAnsi="Bookman Old Style"/>
        </w:rPr>
        <w:t xml:space="preserve"> que se nos presenta como evidentemente violado</w:t>
      </w:r>
      <w:r w:rsidR="00AF1569">
        <w:rPr>
          <w:rFonts w:ascii="Bookman Old Style" w:eastAsia="Times New Roman" w:hAnsi="Bookman Old Style"/>
        </w:rPr>
        <w:t xml:space="preserve">. La acción de cese de daño ambiental posee su fundamento en los </w:t>
      </w:r>
      <w:r w:rsidR="00014D7D">
        <w:rPr>
          <w:rFonts w:ascii="Bookman Old Style" w:eastAsia="Times New Roman" w:hAnsi="Bookman Old Style"/>
        </w:rPr>
        <w:t>A</w:t>
      </w:r>
      <w:r w:rsidR="00AF1569">
        <w:rPr>
          <w:rFonts w:ascii="Bookman Old Style" w:eastAsia="Times New Roman" w:hAnsi="Bookman Old Style"/>
        </w:rPr>
        <w:t>rtículos 41</w:t>
      </w:r>
      <w:r w:rsidR="00014D7D">
        <w:rPr>
          <w:rFonts w:ascii="Bookman Old Style" w:eastAsia="Times New Roman" w:hAnsi="Bookman Old Style"/>
        </w:rPr>
        <w:t>°</w:t>
      </w:r>
      <w:r w:rsidR="00AF1569">
        <w:rPr>
          <w:rFonts w:ascii="Bookman Old Style" w:eastAsia="Times New Roman" w:hAnsi="Bookman Old Style"/>
        </w:rPr>
        <w:t>, 43</w:t>
      </w:r>
      <w:r w:rsidR="00014D7D">
        <w:rPr>
          <w:rFonts w:ascii="Bookman Old Style" w:eastAsia="Times New Roman" w:hAnsi="Bookman Old Style"/>
        </w:rPr>
        <w:t>°</w:t>
      </w:r>
      <w:r w:rsidR="00AF1569">
        <w:rPr>
          <w:rFonts w:ascii="Bookman Old Style" w:eastAsia="Times New Roman" w:hAnsi="Bookman Old Style"/>
        </w:rPr>
        <w:t xml:space="preserve"> de la Constitución Nacional y </w:t>
      </w:r>
      <w:r w:rsidR="00014D7D">
        <w:rPr>
          <w:rFonts w:ascii="Bookman Old Style" w:eastAsia="Times New Roman" w:hAnsi="Bookman Old Style"/>
        </w:rPr>
        <w:t>A</w:t>
      </w:r>
      <w:r w:rsidR="00AF1569">
        <w:rPr>
          <w:rFonts w:ascii="Bookman Old Style" w:eastAsia="Times New Roman" w:hAnsi="Bookman Old Style"/>
        </w:rPr>
        <w:t>rtículos 109</w:t>
      </w:r>
      <w:r w:rsidR="00014D7D">
        <w:rPr>
          <w:rFonts w:ascii="Bookman Old Style" w:eastAsia="Times New Roman" w:hAnsi="Bookman Old Style"/>
        </w:rPr>
        <w:t>°</w:t>
      </w:r>
      <w:r w:rsidR="00AF1569">
        <w:rPr>
          <w:rFonts w:ascii="Bookman Old Style" w:eastAsia="Times New Roman" w:hAnsi="Bookman Old Style"/>
        </w:rPr>
        <w:t xml:space="preserve"> y 111</w:t>
      </w:r>
      <w:r w:rsidR="00014D7D">
        <w:rPr>
          <w:rFonts w:ascii="Bookman Old Style" w:eastAsia="Times New Roman" w:hAnsi="Bookman Old Style"/>
        </w:rPr>
        <w:t>°</w:t>
      </w:r>
      <w:r w:rsidR="00AF1569">
        <w:rPr>
          <w:rFonts w:ascii="Bookman Old Style" w:eastAsia="Times New Roman" w:hAnsi="Bookman Old Style"/>
        </w:rPr>
        <w:t xml:space="preserve"> de la Constitución  Provincial –además de la normativa federal ya citada-, por lo tanto, será un proceso que tiene por objeto la protección expedita de un derecho humano fundamental. De lo que se trata es de prohibir, evitar, actuar antes de que; la idea consiste en no llegar tarde, precisamente porque actuar después de que el daño se perpetro sería como no haber actuado y no existirá de este modo una protección adecuada del bien jurídico comprometido. </w:t>
      </w:r>
    </w:p>
    <w:p w:rsidR="00782497" w:rsidRDefault="008136FF" w:rsidP="00E53DEF">
      <w:pPr>
        <w:spacing w:after="0" w:line="360" w:lineRule="auto"/>
        <w:ind w:firstLine="2127"/>
        <w:jc w:val="both"/>
        <w:rPr>
          <w:rFonts w:ascii="Bookman Old Style" w:eastAsia="Times New Roman" w:hAnsi="Bookman Old Style"/>
        </w:rPr>
      </w:pPr>
      <w:r>
        <w:rPr>
          <w:rFonts w:ascii="Bookman Old Style" w:eastAsia="Times New Roman" w:hAnsi="Bookman Old Style"/>
        </w:rPr>
        <w:t xml:space="preserve">Como bien lo expresa Bidart Campos, el bien protegido por el derecho humano fundamental consagrado constitucionalmente debe ser lo que calificará la idoneidad del medio procesal elegido, en esta inteligencia, el acceso y la tutela no pueden ser solo formales, sino que tienen que ser reales y útiles, libres de obstáculos (Germán Bidart Campos, </w:t>
      </w:r>
      <w:r w:rsidR="00C91809">
        <w:rPr>
          <w:rFonts w:ascii="Bookman Old Style" w:eastAsia="Times New Roman" w:hAnsi="Bookman Old Style"/>
        </w:rPr>
        <w:t>“</w:t>
      </w:r>
      <w:r>
        <w:rPr>
          <w:rFonts w:ascii="Bookman Old Style" w:eastAsia="Times New Roman" w:hAnsi="Bookman Old Style"/>
        </w:rPr>
        <w:t>El derecho de la Constitución y su fuerza normativa</w:t>
      </w:r>
      <w:r w:rsidR="00C91809">
        <w:rPr>
          <w:rFonts w:ascii="Bookman Old Style" w:eastAsia="Times New Roman" w:hAnsi="Bookman Old Style"/>
        </w:rPr>
        <w:t>”,</w:t>
      </w:r>
      <w:r>
        <w:rPr>
          <w:rFonts w:ascii="Bookman Old Style" w:eastAsia="Times New Roman" w:hAnsi="Bookman Old Style"/>
        </w:rPr>
        <w:t xml:space="preserve"> Ed.</w:t>
      </w:r>
      <w:r w:rsidR="00C91809">
        <w:rPr>
          <w:rFonts w:ascii="Bookman Old Style" w:eastAsia="Times New Roman" w:hAnsi="Bookman Old Style"/>
        </w:rPr>
        <w:t xml:space="preserve"> </w:t>
      </w:r>
      <w:proofErr w:type="spellStart"/>
      <w:r>
        <w:rPr>
          <w:rFonts w:ascii="Bookman Old Style" w:eastAsia="Times New Roman" w:hAnsi="Bookman Old Style"/>
        </w:rPr>
        <w:t>Ediar</w:t>
      </w:r>
      <w:proofErr w:type="spellEnd"/>
      <w:r>
        <w:rPr>
          <w:rFonts w:ascii="Bookman Old Style" w:eastAsia="Times New Roman" w:hAnsi="Bookman Old Style"/>
        </w:rPr>
        <w:t xml:space="preserve"> Bs.As., 1995, pag.335/6).</w:t>
      </w:r>
      <w:r w:rsidR="00C91809">
        <w:rPr>
          <w:rFonts w:ascii="Bookman Old Style" w:eastAsia="Times New Roman" w:hAnsi="Bookman Old Style"/>
        </w:rPr>
        <w:t xml:space="preserve"> De este modo,</w:t>
      </w:r>
      <w:r>
        <w:rPr>
          <w:rFonts w:ascii="Bookman Old Style" w:eastAsia="Times New Roman" w:hAnsi="Bookman Old Style"/>
        </w:rPr>
        <w:t xml:space="preserve"> un eventual decreto que declare no idóneo al amparo como medio protector implicaría una denegatoria de</w:t>
      </w:r>
      <w:r w:rsidR="00C91809">
        <w:rPr>
          <w:rFonts w:ascii="Bookman Old Style" w:eastAsia="Times New Roman" w:hAnsi="Bookman Old Style"/>
        </w:rPr>
        <w:t>l efectivo acceso a la justicia; recordemos que el derecho de acceso a la justicia hoy ya no posee fines sólo formales sino que debe materializarse de manera tal de ser efectivo (</w:t>
      </w:r>
      <w:proofErr w:type="spellStart"/>
      <w:r w:rsidR="00C91809">
        <w:rPr>
          <w:rFonts w:ascii="Bookman Old Style" w:eastAsia="Times New Roman" w:hAnsi="Bookman Old Style"/>
        </w:rPr>
        <w:t>Angela</w:t>
      </w:r>
      <w:proofErr w:type="spellEnd"/>
      <w:r w:rsidR="00C91809">
        <w:rPr>
          <w:rFonts w:ascii="Bookman Old Style" w:eastAsia="Times New Roman" w:hAnsi="Bookman Old Style"/>
        </w:rPr>
        <w:t xml:space="preserve"> </w:t>
      </w:r>
      <w:proofErr w:type="spellStart"/>
      <w:r w:rsidR="00C91809">
        <w:rPr>
          <w:rFonts w:ascii="Bookman Old Style" w:eastAsia="Times New Roman" w:hAnsi="Bookman Old Style"/>
        </w:rPr>
        <w:t>Figueruelo</w:t>
      </w:r>
      <w:proofErr w:type="spellEnd"/>
      <w:r w:rsidR="00C91809">
        <w:rPr>
          <w:rFonts w:ascii="Bookman Old Style" w:eastAsia="Times New Roman" w:hAnsi="Bookman Old Style"/>
        </w:rPr>
        <w:t xml:space="preserve"> </w:t>
      </w:r>
      <w:proofErr w:type="spellStart"/>
      <w:r w:rsidR="00C91809">
        <w:rPr>
          <w:rFonts w:ascii="Bookman Old Style" w:eastAsia="Times New Roman" w:hAnsi="Bookman Old Style"/>
        </w:rPr>
        <w:t>Burrieza</w:t>
      </w:r>
      <w:proofErr w:type="spellEnd"/>
      <w:r w:rsidR="00C91809">
        <w:rPr>
          <w:rFonts w:ascii="Bookman Old Style" w:eastAsia="Times New Roman" w:hAnsi="Bookman Old Style"/>
        </w:rPr>
        <w:t xml:space="preserve">, “El derecho a la tutela judicial efectiva”, Ed. Tecnos, Madrid 1990). Es decir, si el medio procesal elegido para proteger el bien jurídico no es el apto porque no llega </w:t>
      </w:r>
      <w:r w:rsidR="00C91809" w:rsidRPr="00E12ED2">
        <w:rPr>
          <w:rFonts w:ascii="Bookman Old Style" w:eastAsia="Times New Roman" w:hAnsi="Bookman Old Style"/>
          <w:u w:val="single"/>
        </w:rPr>
        <w:t>a tiempo</w:t>
      </w:r>
      <w:r w:rsidR="00C91809">
        <w:rPr>
          <w:rFonts w:ascii="Bookman Old Style" w:eastAsia="Times New Roman" w:hAnsi="Bookman Old Style"/>
        </w:rPr>
        <w:t xml:space="preserve"> en su protección, será lo mismo si se puede acceder a ella o no, porque en definitiva, aunque se logre una sentencia de resultado positivo, en éste punto igualmente será ineficaz.</w:t>
      </w:r>
    </w:p>
    <w:p w:rsidR="00782497" w:rsidRDefault="00C91809" w:rsidP="00E53DEF">
      <w:pPr>
        <w:spacing w:after="0" w:line="360" w:lineRule="auto"/>
        <w:ind w:firstLine="2127"/>
        <w:jc w:val="both"/>
        <w:rPr>
          <w:rFonts w:ascii="Bookman Old Style" w:eastAsia="Times New Roman" w:hAnsi="Bookman Old Style"/>
        </w:rPr>
      </w:pPr>
      <w:r>
        <w:rPr>
          <w:rFonts w:ascii="Bookman Old Style" w:eastAsia="Times New Roman" w:hAnsi="Bookman Old Style"/>
        </w:rPr>
        <w:t xml:space="preserve"> Lo que se pretende S.S es detener la eventual actividad generadora de daño ambiental colectivo de manera inmediata hasta tanto se adopt</w:t>
      </w:r>
      <w:r w:rsidR="00847915">
        <w:rPr>
          <w:rFonts w:ascii="Bookman Old Style" w:eastAsia="Times New Roman" w:hAnsi="Bookman Old Style"/>
        </w:rPr>
        <w:t>en las</w:t>
      </w:r>
      <w:r>
        <w:rPr>
          <w:rFonts w:ascii="Bookman Old Style" w:eastAsia="Times New Roman" w:hAnsi="Bookman Old Style"/>
        </w:rPr>
        <w:t xml:space="preserve"> correspondientes</w:t>
      </w:r>
      <w:r w:rsidR="00847915">
        <w:rPr>
          <w:rFonts w:ascii="Bookman Old Style" w:eastAsia="Times New Roman" w:hAnsi="Bookman Old Style"/>
        </w:rPr>
        <w:t xml:space="preserve"> medidas de prevención, precaución y se garantice la sustentabilidad ambiental del proyecto.</w:t>
      </w:r>
      <w:r w:rsidR="00201818">
        <w:rPr>
          <w:rFonts w:ascii="Bookman Old Style" w:eastAsia="Times New Roman" w:hAnsi="Bookman Old Style"/>
        </w:rPr>
        <w:t xml:space="preserve"> Por lo tanto, se debería anticipar la protección antes que la contaminación sea un hecho irreversible y, entiendo, es justamente lo que pretendió el legislador mediante la acción de cese de actividad que en el presente escrito se interpone a los exclusivos fines de mantener incólume el bien jurídico</w:t>
      </w:r>
      <w:r w:rsidR="00E27835">
        <w:rPr>
          <w:rFonts w:ascii="Bookman Old Style" w:eastAsia="Times New Roman" w:hAnsi="Bookman Old Style"/>
        </w:rPr>
        <w:t xml:space="preserve"> </w:t>
      </w:r>
      <w:r w:rsidR="00201818">
        <w:rPr>
          <w:rFonts w:ascii="Bookman Old Style" w:eastAsia="Times New Roman" w:hAnsi="Bookman Old Style"/>
        </w:rPr>
        <w:t>alterado.</w:t>
      </w:r>
      <w:r w:rsidR="00E53DEF" w:rsidRPr="00E53DEF">
        <w:rPr>
          <w:rFonts w:ascii="Bookman Old Style" w:eastAsia="Times New Roman" w:hAnsi="Bookman Old Style"/>
        </w:rPr>
        <w:t xml:space="preserve"> </w:t>
      </w:r>
    </w:p>
    <w:p w:rsidR="00E53DEF" w:rsidRPr="00FF65F3" w:rsidRDefault="00E53DEF" w:rsidP="00E53DEF">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 xml:space="preserve">Por último, considero conveniente citar la Ley Nacional del Ambiente Nº 25.675, que en el Artículo 4° establece que la interpretación y aplicación de la presente Ley, y de toda otra norma a través de la cual se ejecute la política Ambiental, estarán sujetas –entre otros– al cumplimiento de los siguientes principios: </w:t>
      </w:r>
    </w:p>
    <w:p w:rsidR="00E53DEF" w:rsidRPr="00FF65F3" w:rsidRDefault="00E53DEF" w:rsidP="00E53DEF">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a) Principio de Prevención: las causas y las fuentes de los problemas ambientales se atenderán en forma prioritaria e integrada, tratando de prevenir los efectos negativos que sobre el ambiente se pueden producir.</w:t>
      </w:r>
    </w:p>
    <w:p w:rsidR="00E53DEF" w:rsidRPr="00FF65F3" w:rsidRDefault="00E53DEF" w:rsidP="00E53DEF">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b) Principio Precautorio: cuando  haya  peligro  de  daño  grave  o  irreversible,  la ausencia de información o certeza científica, no deberá utilizarse como razón para postergar la adopción de medidas eficaces, en función de los costos, para impedir la degradación del medio ambiente.</w:t>
      </w:r>
    </w:p>
    <w:p w:rsidR="00E53DEF" w:rsidRPr="00FF65F3" w:rsidRDefault="00E53DEF" w:rsidP="00E53DEF">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c) Principio de Sustentabilidad: el desarrollo económico y social y el aprovechamiento de los recursos naturales deberán realizarse a través de una gestión apropiada del ambiente, de manera tal, que no comprometa las posibilidades de las generaciones presentes y futuras.</w:t>
      </w:r>
    </w:p>
    <w:p w:rsidR="00E53DEF" w:rsidRPr="00782497" w:rsidRDefault="00782497" w:rsidP="00E53DEF">
      <w:pPr>
        <w:spacing w:after="0" w:line="360" w:lineRule="auto"/>
        <w:ind w:firstLine="2127"/>
        <w:jc w:val="both"/>
        <w:rPr>
          <w:rFonts w:ascii="Bookman Old Style" w:eastAsia="Times New Roman" w:hAnsi="Bookman Old Style"/>
          <w:i/>
        </w:rPr>
      </w:pPr>
      <w:r>
        <w:rPr>
          <w:rFonts w:ascii="Bookman Old Style" w:eastAsia="Times New Roman" w:hAnsi="Bookman Old Style"/>
        </w:rPr>
        <w:t>A</w:t>
      </w:r>
      <w:r w:rsidR="00E53DEF" w:rsidRPr="00FF65F3">
        <w:rPr>
          <w:rFonts w:ascii="Bookman Old Style" w:eastAsia="Times New Roman" w:hAnsi="Bookman Old Style"/>
        </w:rPr>
        <w:t xml:space="preserve">sí también, la Ley XI Nº 35 “Código Ambiental de la Provincia del Chubut” en su Artículo 3° establece que </w:t>
      </w:r>
      <w:r w:rsidR="00E53DEF" w:rsidRPr="00782497">
        <w:rPr>
          <w:rFonts w:ascii="Bookman Old Style" w:eastAsia="Times New Roman" w:hAnsi="Bookman Old Style"/>
          <w:i/>
        </w:rPr>
        <w:t xml:space="preserve">en virtud del marco de derechos y garantías establecidos por la Nación y la Provincia del Chubut en sus respectivas Constituciones y los principios generales contenidos en la Declaración de Río de Janeiro en 1992, la política ambiental se rige por los siguientes criterios: a) Toda persona tiene derecho a gozar de un ambiente sano y equilibrado y el deber de preservarlo; b) La protección ambiental constituye una parte integral del proceso de desarrollo económico; c) La conservación del patrimonio natural y la diversidad biológica es una responsabilidad de todos los habitantes de la provincia; d) El Estado Provincial debe regular el uso del ambiente y de los recursos naturales, la protección de los derechos relativos al ambiente y ejecutar la política ambiental provincial, cooperando con las gestiones municipales y articulando con las otras provincias con condiciones ambientales idénticas o similares o complementarias; e) El proceso de desarrollo debe cumplirse de tal modo que las futuras generaciones puedan cubrir sus necesidades de manera equitativa con las presentes; f) Los ciudadanos tienen derecho a la participación en las acciones relativas al ambiente y a defender sus derechos ambientales en los ámbitos administrativo y judicial; g) El Estado debe proveer a la educación ambiental de sus habitantes; h) Los ciudadanos tienen derecho a acceder a la información ambiental administrada por el Estado que no se encuentre legalmente calificada como reservada; i) La política ambiental debe basarse en los principios de: 1. Prevención, atendiendo prioritariamente a las causas de los problemas que afecten o pudieran afectar al ambiente, la diversidad biológica y la salud de las personas, y luego a las consecuencias. 2. </w:t>
      </w:r>
      <w:r w:rsidR="00E53DEF" w:rsidRPr="00782497">
        <w:rPr>
          <w:rFonts w:ascii="Bookman Old Style" w:eastAsia="Times New Roman" w:hAnsi="Bookman Old Style"/>
          <w:b/>
          <w:i/>
        </w:rPr>
        <w:t>Precaución, ya que la falta de certeza científica no puede ser razón para posponer medidas precautorias ante la amenaza de daños graves al ambiente.</w:t>
      </w:r>
      <w:r w:rsidR="00E53DEF" w:rsidRPr="00782497">
        <w:rPr>
          <w:rFonts w:ascii="Bookman Old Style" w:eastAsia="Times New Roman" w:hAnsi="Bookman Old Style"/>
          <w:i/>
        </w:rPr>
        <w:t xml:space="preserve"> 3. Responsabilidad de asumir los costos ambientales que resulten de sus actividades para recomponer los daños ambientales y/o para la conservación de bienes y servicios ambientales. 4. Gradualidad, ya que las acciones encaminadas a revertir las causas de la actual situación ambiental se realizarán de forma gradual, atendiendo al cumplimiento de las metas fijadas y la adecuación en razón de las demandas y necesidades de la sociedad, de los resultados que se obtengan de la evolución de los conocimientos, de la disponibilidad tecnológica y de la capacidad de acción.</w:t>
      </w:r>
    </w:p>
    <w:p w:rsidR="00E53DEF" w:rsidRPr="00FF65F3" w:rsidRDefault="00782497" w:rsidP="00E53DEF">
      <w:pPr>
        <w:spacing w:after="0" w:line="360" w:lineRule="auto"/>
        <w:ind w:firstLine="2127"/>
        <w:jc w:val="both"/>
        <w:rPr>
          <w:rFonts w:ascii="Bookman Old Style" w:eastAsia="Times New Roman" w:hAnsi="Bookman Old Style"/>
        </w:rPr>
      </w:pPr>
      <w:r>
        <w:rPr>
          <w:rFonts w:ascii="Bookman Old Style" w:eastAsia="Times New Roman" w:hAnsi="Bookman Old Style"/>
        </w:rPr>
        <w:t>E</w:t>
      </w:r>
      <w:r w:rsidR="00E53DEF" w:rsidRPr="00FF65F3">
        <w:rPr>
          <w:rFonts w:ascii="Bookman Old Style" w:eastAsia="Times New Roman" w:hAnsi="Bookman Old Style"/>
        </w:rPr>
        <w:t>n consecuencia</w:t>
      </w:r>
      <w:r>
        <w:rPr>
          <w:rFonts w:ascii="Bookman Old Style" w:eastAsia="Times New Roman" w:hAnsi="Bookman Old Style"/>
        </w:rPr>
        <w:t>,</w:t>
      </w:r>
      <w:r w:rsidR="00E53DEF" w:rsidRPr="00FF65F3">
        <w:rPr>
          <w:rFonts w:ascii="Bookman Old Style" w:eastAsia="Times New Roman" w:hAnsi="Bookman Old Style"/>
        </w:rPr>
        <w:t xml:space="preserve"> la falta de certeza científica no puede ser razón para posponer medidas precautorias ante la amenaza de</w:t>
      </w:r>
      <w:r>
        <w:rPr>
          <w:rFonts w:ascii="Bookman Old Style" w:eastAsia="Times New Roman" w:hAnsi="Bookman Old Style"/>
        </w:rPr>
        <w:t xml:space="preserve"> daños graves al ambiente. E</w:t>
      </w:r>
      <w:r w:rsidR="00E53DEF" w:rsidRPr="00FF65F3">
        <w:rPr>
          <w:rFonts w:ascii="Bookman Old Style" w:eastAsia="Times New Roman" w:hAnsi="Bookman Old Style"/>
        </w:rPr>
        <w:t>llo es así atento que el principio de precaución es un concepto que respalda la adopción de medidas protectoras ante las sospechas fundadas de un riesgo grave para el medio ambiente, pero sin que se cuente todavía con una prueba científica definitiva de tal riesgo, con el fin de garantizar un adecuado nivel de protección del medio ambiente.</w:t>
      </w:r>
      <w:r w:rsidR="004B26A0">
        <w:rPr>
          <w:rFonts w:ascii="Bookman Old Style" w:eastAsia="Times New Roman" w:hAnsi="Bookman Old Style"/>
        </w:rPr>
        <w:t xml:space="preserve"> </w:t>
      </w:r>
      <w:r>
        <w:rPr>
          <w:rFonts w:ascii="Bookman Old Style" w:eastAsia="Times New Roman" w:hAnsi="Bookman Old Style"/>
        </w:rPr>
        <w:t>D</w:t>
      </w:r>
      <w:r w:rsidR="00E53DEF" w:rsidRPr="00FF65F3">
        <w:rPr>
          <w:rFonts w:ascii="Bookman Old Style" w:eastAsia="Times New Roman" w:hAnsi="Bookman Old Style"/>
        </w:rPr>
        <w:t xml:space="preserve">icho principio de precaución debe guiarse por tres principios específicos: a) una evaluación científica lo más completa posible y la  determinación, en la medida de lo posible, del grado de incertidumbre científica; b) una determinación del riesgo y de las consecuencias potenciales de la inacción; y c) </w:t>
      </w:r>
      <w:r w:rsidR="00E53DEF" w:rsidRPr="00FF65F3">
        <w:rPr>
          <w:rFonts w:ascii="Bookman Old Style" w:eastAsia="Times New Roman" w:hAnsi="Bookman Old Style"/>
          <w:b/>
        </w:rPr>
        <w:t>la participación de todas las partes interesadas en el estudio de medidas de precaución, tan pronto como se disponga de los resultados de la evaluación científica o de la determinación del riesgo</w:t>
      </w:r>
      <w:r w:rsidR="00E53DEF" w:rsidRPr="00FF65F3">
        <w:rPr>
          <w:rFonts w:ascii="Bookman Old Style" w:eastAsia="Times New Roman" w:hAnsi="Bookman Old Style"/>
        </w:rPr>
        <w:t>.</w:t>
      </w:r>
    </w:p>
    <w:p w:rsidR="00E53DEF" w:rsidRDefault="00E53DEF"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Por todo lo expuesto y, fundamentalmente, por imperio de los principios de Precaución y de Prevención, legal y expresamente establecidos, se solicita a V.S. que</w:t>
      </w:r>
      <w:r w:rsidRPr="00FF65F3">
        <w:rPr>
          <w:rFonts w:ascii="Bookman Old Style" w:eastAsia="Times New Roman" w:hAnsi="Bookman Old Style"/>
        </w:rPr>
        <w:t xml:space="preserve"> o</w:t>
      </w:r>
      <w:r>
        <w:rPr>
          <w:rFonts w:ascii="Bookman Old Style" w:eastAsia="Times New Roman" w:hAnsi="Bookman Old Style"/>
        </w:rPr>
        <w:t xml:space="preserve">rdene al </w:t>
      </w:r>
      <w:r w:rsidR="00014D7D">
        <w:rPr>
          <w:rFonts w:ascii="Bookman Old Style" w:eastAsia="Times New Roman" w:hAnsi="Bookman Old Style"/>
        </w:rPr>
        <w:t xml:space="preserve">Estado de la Provincia del Chubut- Poder Ejecutivo- y al </w:t>
      </w:r>
      <w:r>
        <w:rPr>
          <w:rFonts w:ascii="Bookman Old Style" w:eastAsia="Times New Roman" w:hAnsi="Bookman Old Style"/>
        </w:rPr>
        <w:t>Ministerio de Ambiente</w:t>
      </w:r>
      <w:r w:rsidR="00014D7D">
        <w:rPr>
          <w:rFonts w:ascii="Bookman Old Style" w:eastAsia="Times New Roman" w:hAnsi="Bookman Old Style"/>
        </w:rPr>
        <w:t xml:space="preserve"> y Control del Desarrollo Sustentable</w:t>
      </w:r>
      <w:r>
        <w:rPr>
          <w:rFonts w:ascii="Bookman Old Style" w:eastAsia="Times New Roman" w:hAnsi="Bookman Old Style"/>
        </w:rPr>
        <w:t xml:space="preserve"> que éste, en uso de sus facultades como agente de control y fiscalización decrete</w:t>
      </w:r>
      <w:r w:rsidRPr="00FF65F3">
        <w:rPr>
          <w:rFonts w:ascii="Bookman Old Style" w:eastAsia="Times New Roman" w:hAnsi="Bookman Old Style"/>
        </w:rPr>
        <w:t xml:space="preserve"> el cese inmed</w:t>
      </w:r>
      <w:r>
        <w:rPr>
          <w:rFonts w:ascii="Bookman Old Style" w:eastAsia="Times New Roman" w:hAnsi="Bookman Old Style"/>
        </w:rPr>
        <w:t>iato y permanente del predio de</w:t>
      </w:r>
      <w:r w:rsidRPr="00FF65F3">
        <w:rPr>
          <w:rFonts w:ascii="Bookman Old Style" w:eastAsia="Times New Roman" w:hAnsi="Bookman Old Style"/>
        </w:rPr>
        <w:t xml:space="preserve"> la firma ARCANTE S.A. ubicado a 15 kilómetros de T</w:t>
      </w:r>
      <w:r>
        <w:rPr>
          <w:rFonts w:ascii="Bookman Old Style" w:eastAsia="Times New Roman" w:hAnsi="Bookman Old Style"/>
        </w:rPr>
        <w:t>relew y con acceso desde Ruta 1</w:t>
      </w:r>
      <w:r w:rsidR="005C0028">
        <w:rPr>
          <w:rFonts w:ascii="Bookman Old Style" w:eastAsia="Times New Roman" w:hAnsi="Bookman Old Style"/>
        </w:rPr>
        <w:t>,</w:t>
      </w:r>
      <w:r w:rsidRPr="00FF65F3">
        <w:rPr>
          <w:rFonts w:ascii="Bookman Old Style" w:eastAsia="Times New Roman" w:hAnsi="Bookman Old Style"/>
        </w:rPr>
        <w:t xml:space="preserve"> hasta tanto cumplimente con el </w:t>
      </w:r>
      <w:r>
        <w:rPr>
          <w:rFonts w:ascii="Bookman Old Style" w:eastAsia="Times New Roman" w:hAnsi="Bookman Old Style"/>
        </w:rPr>
        <w:t xml:space="preserve">debido y legalmente prescripto </w:t>
      </w:r>
      <w:r w:rsidRPr="00FF65F3">
        <w:rPr>
          <w:rFonts w:ascii="Bookman Old Style" w:eastAsia="Times New Roman" w:hAnsi="Bookman Old Style"/>
        </w:rPr>
        <w:t>procedimiento de Evaluación de Impa</w:t>
      </w:r>
      <w:r>
        <w:rPr>
          <w:rFonts w:ascii="Bookman Old Style" w:eastAsia="Times New Roman" w:hAnsi="Bookman Old Style"/>
        </w:rPr>
        <w:t>cto Ambiental mediante</w:t>
      </w:r>
      <w:r w:rsidRPr="00FF65F3">
        <w:rPr>
          <w:rFonts w:ascii="Bookman Old Style" w:eastAsia="Times New Roman" w:hAnsi="Bookman Old Style"/>
        </w:rPr>
        <w:t xml:space="preserve"> Decreto </w:t>
      </w:r>
      <w:r>
        <w:rPr>
          <w:rFonts w:ascii="Bookman Old Style" w:eastAsia="Times New Roman" w:hAnsi="Bookman Old Style"/>
        </w:rPr>
        <w:t>N° 185/09 y sus modificaciones, de conformidad con</w:t>
      </w:r>
      <w:r w:rsidRPr="00FF65F3">
        <w:rPr>
          <w:rFonts w:ascii="Bookman Old Style" w:eastAsia="Times New Roman" w:hAnsi="Bookman Old Style"/>
        </w:rPr>
        <w:t xml:space="preserve"> las Leyes Na</w:t>
      </w:r>
      <w:r>
        <w:rPr>
          <w:rFonts w:ascii="Bookman Old Style" w:eastAsia="Times New Roman" w:hAnsi="Bookman Old Style"/>
        </w:rPr>
        <w:t>cionales y Provinciales citadas y,</w:t>
      </w:r>
      <w:r w:rsidRPr="00FF65F3">
        <w:rPr>
          <w:rFonts w:ascii="Bookman Old Style" w:eastAsia="Times New Roman" w:hAnsi="Bookman Old Style"/>
        </w:rPr>
        <w:t xml:space="preserve"> bajo apercibimiento de aplicar sanciones conminatorias y/o astreintes en caso de incumplimiento.</w:t>
      </w:r>
    </w:p>
    <w:p w:rsidR="00122787" w:rsidRPr="00FF65F3" w:rsidRDefault="00122787" w:rsidP="00FF65F3">
      <w:pPr>
        <w:spacing w:after="0" w:line="360" w:lineRule="auto"/>
        <w:ind w:firstLine="2127"/>
        <w:jc w:val="both"/>
        <w:rPr>
          <w:rFonts w:ascii="Bookman Old Style" w:eastAsia="Times New Roman" w:hAnsi="Bookman Old Style"/>
        </w:rPr>
      </w:pPr>
    </w:p>
    <w:p w:rsidR="004600FB" w:rsidRPr="00FF65F3" w:rsidRDefault="002D1F5D" w:rsidP="00FF65F3">
      <w:pPr>
        <w:spacing w:after="0" w:line="360" w:lineRule="auto"/>
        <w:ind w:firstLine="2127"/>
        <w:jc w:val="both"/>
        <w:rPr>
          <w:rFonts w:ascii="Bookman Old Style" w:eastAsia="Times New Roman" w:hAnsi="Bookman Old Style"/>
          <w:b/>
          <w:bCs/>
          <w:u w:val="single"/>
        </w:rPr>
      </w:pPr>
      <w:r w:rsidRPr="00FF65F3">
        <w:rPr>
          <w:rFonts w:ascii="Bookman Old Style" w:eastAsia="Times New Roman" w:hAnsi="Bookman Old Style"/>
          <w:b/>
          <w:bCs/>
          <w:u w:val="single"/>
        </w:rPr>
        <w:t>I</w:t>
      </w:r>
      <w:r w:rsidR="00330515" w:rsidRPr="00FF65F3">
        <w:rPr>
          <w:rFonts w:ascii="Bookman Old Style" w:eastAsia="Times New Roman" w:hAnsi="Bookman Old Style"/>
          <w:b/>
          <w:bCs/>
          <w:u w:val="single"/>
        </w:rPr>
        <w:t>II</w:t>
      </w:r>
      <w:r w:rsidRPr="00FF65F3">
        <w:rPr>
          <w:rFonts w:ascii="Bookman Old Style" w:eastAsia="Times New Roman" w:hAnsi="Bookman Old Style"/>
          <w:b/>
          <w:bCs/>
          <w:u w:val="single"/>
        </w:rPr>
        <w:t>.</w:t>
      </w:r>
      <w:r w:rsidR="00E55AB7" w:rsidRPr="00FF65F3">
        <w:rPr>
          <w:rFonts w:ascii="Bookman Old Style" w:eastAsia="Times New Roman" w:hAnsi="Bookman Old Style"/>
          <w:b/>
          <w:bCs/>
          <w:u w:val="single"/>
        </w:rPr>
        <w:t xml:space="preserve"> LEGITIMACIÓN ACTIVA. DAÑO CONTINUADO.</w:t>
      </w:r>
    </w:p>
    <w:p w:rsidR="004146C8" w:rsidRDefault="00A71B59"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El dañ</w:t>
      </w:r>
      <w:r w:rsidR="00C46BF2">
        <w:rPr>
          <w:rFonts w:ascii="Bookman Old Style" w:eastAsia="Times New Roman" w:hAnsi="Bookman Old Style"/>
        </w:rPr>
        <w:t>o ambiental que podría generar u</w:t>
      </w:r>
      <w:r w:rsidRPr="00FF65F3">
        <w:rPr>
          <w:rFonts w:ascii="Bookman Old Style" w:eastAsia="Times New Roman" w:hAnsi="Bookman Old Style"/>
        </w:rPr>
        <w:t>n enterramiento de residuos orgánicos de la industria pesquera, es sin lugar a du</w:t>
      </w:r>
      <w:r w:rsidR="00C46BF2">
        <w:rPr>
          <w:rFonts w:ascii="Bookman Old Style" w:eastAsia="Times New Roman" w:hAnsi="Bookman Old Style"/>
        </w:rPr>
        <w:t>das de incidencia colectiva,</w:t>
      </w:r>
      <w:r w:rsidRPr="00FF65F3">
        <w:rPr>
          <w:rFonts w:ascii="Bookman Old Style" w:eastAsia="Times New Roman" w:hAnsi="Bookman Old Style"/>
        </w:rPr>
        <w:t xml:space="preserve"> perjudica a toda la población de Rawson </w:t>
      </w:r>
      <w:r w:rsidR="00C46BF2">
        <w:rPr>
          <w:rFonts w:ascii="Bookman Old Style" w:eastAsia="Times New Roman" w:hAnsi="Bookman Old Style"/>
        </w:rPr>
        <w:t>y Trelew,</w:t>
      </w:r>
      <w:r w:rsidR="004146C8" w:rsidRPr="00FF65F3">
        <w:rPr>
          <w:rFonts w:ascii="Bookman Old Style" w:eastAsia="Times New Roman" w:hAnsi="Bookman Old Style"/>
        </w:rPr>
        <w:t xml:space="preserve"> a quienes, como quien suscribe,</w:t>
      </w:r>
      <w:r w:rsidR="00F16820" w:rsidRPr="00FF65F3">
        <w:rPr>
          <w:rFonts w:ascii="Bookman Old Style" w:eastAsia="Times New Roman" w:hAnsi="Bookman Old Style"/>
        </w:rPr>
        <w:t xml:space="preserve"> q</w:t>
      </w:r>
      <w:r w:rsidR="00C46BF2">
        <w:rPr>
          <w:rFonts w:ascii="Bookman Old Style" w:eastAsia="Times New Roman" w:hAnsi="Bookman Old Style"/>
        </w:rPr>
        <w:t>ue además de trabajar en Rawson de lunes a viernes</w:t>
      </w:r>
      <w:r w:rsidR="005C0028">
        <w:rPr>
          <w:rFonts w:ascii="Bookman Old Style" w:eastAsia="Times New Roman" w:hAnsi="Bookman Old Style"/>
        </w:rPr>
        <w:t>,</w:t>
      </w:r>
      <w:r w:rsidR="004146C8" w:rsidRPr="00FF65F3">
        <w:rPr>
          <w:rFonts w:ascii="Bookman Old Style" w:eastAsia="Times New Roman" w:hAnsi="Bookman Old Style"/>
        </w:rPr>
        <w:t xml:space="preserve"> </w:t>
      </w:r>
      <w:r w:rsidR="00C46BF2">
        <w:rPr>
          <w:rFonts w:ascii="Bookman Old Style" w:eastAsia="Times New Roman" w:hAnsi="Bookman Old Style"/>
        </w:rPr>
        <w:t>frecuento cada fin de semana -desde mi niñez- la zona, por cuanto toda mi familia paterna y materna viven allí</w:t>
      </w:r>
      <w:r w:rsidR="000D0796">
        <w:rPr>
          <w:rFonts w:ascii="Bookman Old Style" w:eastAsia="Times New Roman" w:hAnsi="Bookman Old Style"/>
        </w:rPr>
        <w:t xml:space="preserve"> y, a la sociedad en su conjunto. En este sentido resulta pertinente y oportuno destacar, respecto a las acciones en defensa del ambiente, la </w:t>
      </w:r>
      <w:r w:rsidR="005C0028">
        <w:rPr>
          <w:rFonts w:ascii="Bookman Old Style" w:eastAsia="Times New Roman" w:hAnsi="Bookman Old Style"/>
        </w:rPr>
        <w:t>L</w:t>
      </w:r>
      <w:r w:rsidR="000D0796">
        <w:rPr>
          <w:rFonts w:ascii="Bookman Old Style" w:eastAsia="Times New Roman" w:hAnsi="Bookman Old Style"/>
        </w:rPr>
        <w:t>ey</w:t>
      </w:r>
      <w:r w:rsidR="005C0028">
        <w:rPr>
          <w:rFonts w:ascii="Bookman Old Style" w:eastAsia="Times New Roman" w:hAnsi="Bookman Old Style"/>
        </w:rPr>
        <w:t xml:space="preserve"> N°</w:t>
      </w:r>
      <w:r w:rsidR="000D0796">
        <w:rPr>
          <w:rFonts w:ascii="Bookman Old Style" w:eastAsia="Times New Roman" w:hAnsi="Bookman Old Style"/>
        </w:rPr>
        <w:t xml:space="preserve"> 25.675 en su </w:t>
      </w:r>
      <w:r w:rsidR="005C0028">
        <w:rPr>
          <w:rFonts w:ascii="Bookman Old Style" w:eastAsia="Times New Roman" w:hAnsi="Bookman Old Style"/>
        </w:rPr>
        <w:t>A</w:t>
      </w:r>
      <w:r w:rsidR="000D0796">
        <w:rPr>
          <w:rFonts w:ascii="Bookman Old Style" w:eastAsia="Times New Roman" w:hAnsi="Bookman Old Style"/>
        </w:rPr>
        <w:t>rtículo 30</w:t>
      </w:r>
      <w:r w:rsidR="005C0028">
        <w:rPr>
          <w:rFonts w:ascii="Bookman Old Style" w:eastAsia="Times New Roman" w:hAnsi="Bookman Old Style"/>
        </w:rPr>
        <w:t>°</w:t>
      </w:r>
      <w:r w:rsidR="000D0796">
        <w:rPr>
          <w:rFonts w:ascii="Bookman Old Style" w:eastAsia="Times New Roman" w:hAnsi="Bookman Old Style"/>
        </w:rPr>
        <w:t xml:space="preserve"> toda vez que allí se establece un esquema en el que se diferencia el nivel </w:t>
      </w:r>
      <w:proofErr w:type="spellStart"/>
      <w:r w:rsidR="000D0796">
        <w:rPr>
          <w:rFonts w:ascii="Bookman Old Style" w:eastAsia="Times New Roman" w:hAnsi="Bookman Old Style"/>
        </w:rPr>
        <w:t>legitimatorio</w:t>
      </w:r>
      <w:proofErr w:type="spellEnd"/>
      <w:r w:rsidR="000D0796">
        <w:rPr>
          <w:rFonts w:ascii="Bookman Old Style" w:eastAsia="Times New Roman" w:hAnsi="Bookman Old Style"/>
        </w:rPr>
        <w:t xml:space="preserve"> según el tipo de pretensión que se incoe; la norma legitima a los fines de la “recomposición del ambiente dañado”</w:t>
      </w:r>
      <w:r w:rsidR="00B844BD">
        <w:rPr>
          <w:rFonts w:ascii="Bookman Old Style" w:eastAsia="Times New Roman" w:hAnsi="Bookman Old Style"/>
        </w:rPr>
        <w:t xml:space="preserve"> a determinados sujetos; </w:t>
      </w:r>
      <w:r w:rsidR="000D0796">
        <w:rPr>
          <w:rFonts w:ascii="Bookman Old Style" w:eastAsia="Times New Roman" w:hAnsi="Bookman Old Style"/>
        </w:rPr>
        <w:t xml:space="preserve">para el caso de daño personalizado agrega una legitimación </w:t>
      </w:r>
      <w:r w:rsidR="00B844BD">
        <w:rPr>
          <w:rFonts w:ascii="Bookman Old Style" w:eastAsia="Times New Roman" w:hAnsi="Bookman Old Style"/>
        </w:rPr>
        <w:t>indemnizatoria</w:t>
      </w:r>
      <w:r w:rsidR="000D0796">
        <w:rPr>
          <w:rFonts w:ascii="Bookman Old Style" w:eastAsia="Times New Roman" w:hAnsi="Bookman Old Style"/>
        </w:rPr>
        <w:t xml:space="preserve"> individualizada</w:t>
      </w:r>
      <w:r w:rsidR="00B844BD">
        <w:rPr>
          <w:rFonts w:ascii="Bookman Old Style" w:eastAsia="Times New Roman" w:hAnsi="Bookman Old Style"/>
        </w:rPr>
        <w:t xml:space="preserve"> y, en el tercer párrafo establece una legitimación amplia -“</w:t>
      </w:r>
      <w:r w:rsidR="00B844BD" w:rsidRPr="00B844BD">
        <w:rPr>
          <w:rFonts w:ascii="Bookman Old Style" w:eastAsia="Times New Roman" w:hAnsi="Bookman Old Style"/>
          <w:i/>
        </w:rPr>
        <w:t>toda persona</w:t>
      </w:r>
      <w:r w:rsidR="00B844BD">
        <w:rPr>
          <w:rFonts w:ascii="Bookman Old Style" w:eastAsia="Times New Roman" w:hAnsi="Bookman Old Style"/>
        </w:rPr>
        <w:t>”</w:t>
      </w:r>
      <w:r w:rsidR="00913C89">
        <w:rPr>
          <w:rFonts w:ascii="Bookman Old Style" w:eastAsia="Times New Roman" w:hAnsi="Bookman Old Style"/>
        </w:rPr>
        <w:t xml:space="preserve">- para una pretensión </w:t>
      </w:r>
      <w:r w:rsidR="00B844BD">
        <w:rPr>
          <w:rFonts w:ascii="Bookman Old Style" w:eastAsia="Times New Roman" w:hAnsi="Bookman Old Style"/>
        </w:rPr>
        <w:t>anulatoria</w:t>
      </w:r>
      <w:r w:rsidR="00913C89">
        <w:rPr>
          <w:rFonts w:ascii="Bookman Old Style" w:eastAsia="Times New Roman" w:hAnsi="Bookman Old Style"/>
        </w:rPr>
        <w:t xml:space="preserve"> o de cese</w:t>
      </w:r>
      <w:r w:rsidR="00B844BD">
        <w:rPr>
          <w:rFonts w:ascii="Bookman Old Style" w:eastAsia="Times New Roman" w:hAnsi="Bookman Old Style"/>
        </w:rPr>
        <w:t xml:space="preserve"> por violación a la legalidad –en el mismo sentido se expresa el </w:t>
      </w:r>
      <w:r w:rsidR="005C0028">
        <w:rPr>
          <w:rFonts w:ascii="Bookman Old Style" w:eastAsia="Times New Roman" w:hAnsi="Bookman Old Style"/>
        </w:rPr>
        <w:t>A</w:t>
      </w:r>
      <w:r w:rsidR="00B844BD">
        <w:rPr>
          <w:rFonts w:ascii="Bookman Old Style" w:eastAsia="Times New Roman" w:hAnsi="Bookman Old Style"/>
        </w:rPr>
        <w:t>rtículo 156</w:t>
      </w:r>
      <w:r w:rsidR="005C0028">
        <w:rPr>
          <w:rFonts w:ascii="Bookman Old Style" w:eastAsia="Times New Roman" w:hAnsi="Bookman Old Style"/>
        </w:rPr>
        <w:t>°</w:t>
      </w:r>
      <w:r w:rsidR="00B844BD">
        <w:rPr>
          <w:rFonts w:ascii="Bookman Old Style" w:eastAsia="Times New Roman" w:hAnsi="Bookman Old Style"/>
        </w:rPr>
        <w:t xml:space="preserve"> de la </w:t>
      </w:r>
      <w:r w:rsidR="005C0028">
        <w:rPr>
          <w:rFonts w:ascii="Bookman Old Style" w:eastAsia="Times New Roman" w:hAnsi="Bookman Old Style"/>
        </w:rPr>
        <w:t>L</w:t>
      </w:r>
      <w:r w:rsidR="00B844BD">
        <w:rPr>
          <w:rFonts w:ascii="Bookman Old Style" w:eastAsia="Times New Roman" w:hAnsi="Bookman Old Style"/>
        </w:rPr>
        <w:t>ey XI N°35</w:t>
      </w:r>
      <w:r w:rsidR="005C0028">
        <w:rPr>
          <w:rFonts w:ascii="Bookman Old Style" w:eastAsia="Times New Roman" w:hAnsi="Bookman Old Style"/>
        </w:rPr>
        <w:t xml:space="preserve"> del Digesto Jurídico Provincial</w:t>
      </w:r>
      <w:r w:rsidR="00B844BD">
        <w:rPr>
          <w:rFonts w:ascii="Bookman Old Style" w:eastAsia="Times New Roman" w:hAnsi="Bookman Old Style"/>
        </w:rPr>
        <w:t>-.</w:t>
      </w:r>
      <w:r w:rsidR="00913C89">
        <w:rPr>
          <w:rFonts w:ascii="Bookman Old Style" w:eastAsia="Times New Roman" w:hAnsi="Bookman Old Style"/>
        </w:rPr>
        <w:t xml:space="preserve"> Dice el </w:t>
      </w:r>
      <w:r w:rsidR="005C0028">
        <w:rPr>
          <w:rFonts w:ascii="Bookman Old Style" w:eastAsia="Times New Roman" w:hAnsi="Bookman Old Style"/>
        </w:rPr>
        <w:t>A</w:t>
      </w:r>
      <w:r w:rsidR="00913C89">
        <w:rPr>
          <w:rFonts w:ascii="Bookman Old Style" w:eastAsia="Times New Roman" w:hAnsi="Bookman Old Style"/>
        </w:rPr>
        <w:t>rtículo 30</w:t>
      </w:r>
      <w:r w:rsidR="005C0028">
        <w:rPr>
          <w:rFonts w:ascii="Bookman Old Style" w:eastAsia="Times New Roman" w:hAnsi="Bookman Old Style"/>
        </w:rPr>
        <w:t>°</w:t>
      </w:r>
      <w:r w:rsidR="00913C89">
        <w:rPr>
          <w:rFonts w:ascii="Bookman Old Style" w:eastAsia="Times New Roman" w:hAnsi="Bookman Old Style"/>
        </w:rPr>
        <w:t xml:space="preserve">: </w:t>
      </w:r>
      <w:r w:rsidR="00913C89" w:rsidRPr="00913C89">
        <w:rPr>
          <w:rFonts w:ascii="Bookman Old Style" w:eastAsia="Times New Roman" w:hAnsi="Bookman Old Style"/>
          <w:i/>
        </w:rPr>
        <w:t>“sin perjuicio de lo indicado precedentemente toda persona podrá solicitar mediante acción de amparo, la cesación de actividades generadoras de daño ambiental colectivo</w:t>
      </w:r>
      <w:r w:rsidR="00913C89">
        <w:rPr>
          <w:rFonts w:ascii="Bookman Old Style" w:eastAsia="Times New Roman" w:hAnsi="Bookman Old Style"/>
        </w:rPr>
        <w:t xml:space="preserve">”. </w:t>
      </w:r>
      <w:r w:rsidR="00C069DA">
        <w:rPr>
          <w:rFonts w:ascii="Bookman Old Style" w:eastAsia="Times New Roman" w:hAnsi="Bookman Old Style"/>
        </w:rPr>
        <w:t>De dicha normativa</w:t>
      </w:r>
      <w:r w:rsidR="00B844BD">
        <w:rPr>
          <w:rFonts w:ascii="Bookman Old Style" w:eastAsia="Times New Roman" w:hAnsi="Bookman Old Style"/>
        </w:rPr>
        <w:t xml:space="preserve"> se advierte </w:t>
      </w:r>
      <w:r w:rsidR="00C069DA">
        <w:rPr>
          <w:rFonts w:ascii="Bookman Old Style" w:eastAsia="Times New Roman" w:hAnsi="Bookman Old Style"/>
        </w:rPr>
        <w:t>no solo la legitimación de la suscripta sino, además</w:t>
      </w:r>
      <w:r w:rsidR="00B844BD">
        <w:rPr>
          <w:rFonts w:ascii="Bookman Old Style" w:eastAsia="Times New Roman" w:hAnsi="Bookman Old Style"/>
        </w:rPr>
        <w:t>,</w:t>
      </w:r>
      <w:r w:rsidR="00C069DA">
        <w:rPr>
          <w:rFonts w:ascii="Bookman Old Style" w:eastAsia="Times New Roman" w:hAnsi="Bookman Old Style"/>
        </w:rPr>
        <w:t xml:space="preserve"> que la presente</w:t>
      </w:r>
      <w:r w:rsidR="00B844BD">
        <w:rPr>
          <w:rFonts w:ascii="Bookman Old Style" w:eastAsia="Times New Roman" w:hAnsi="Bookman Old Style"/>
        </w:rPr>
        <w:t xml:space="preserve"> acción </w:t>
      </w:r>
      <w:r w:rsidR="00C069DA">
        <w:rPr>
          <w:rFonts w:ascii="Bookman Old Style" w:eastAsia="Times New Roman" w:hAnsi="Bookman Old Style"/>
        </w:rPr>
        <w:t>tiene</w:t>
      </w:r>
      <w:r w:rsidR="00B844BD">
        <w:rPr>
          <w:rFonts w:ascii="Bookman Old Style" w:eastAsia="Times New Roman" w:hAnsi="Bookman Old Style"/>
        </w:rPr>
        <w:t xml:space="preserve"> por objeto</w:t>
      </w:r>
      <w:r w:rsidR="00C069DA">
        <w:rPr>
          <w:rFonts w:ascii="Bookman Old Style" w:eastAsia="Times New Roman" w:hAnsi="Bookman Old Style"/>
        </w:rPr>
        <w:t xml:space="preserve"> el mismo que el previsto por la norma, esto es,</w:t>
      </w:r>
      <w:r w:rsidR="00B844BD">
        <w:rPr>
          <w:rFonts w:ascii="Bookman Old Style" w:eastAsia="Times New Roman" w:hAnsi="Bookman Old Style"/>
        </w:rPr>
        <w:t xml:space="preserve"> detener la actividad generadora de </w:t>
      </w:r>
      <w:r w:rsidR="00B844BD" w:rsidRPr="00B844BD">
        <w:rPr>
          <w:rFonts w:ascii="Bookman Old Style" w:eastAsia="Times New Roman" w:hAnsi="Bookman Old Style"/>
          <w:i/>
        </w:rPr>
        <w:t>daño ambiental colectivo</w:t>
      </w:r>
      <w:r w:rsidR="00B844BD">
        <w:rPr>
          <w:rFonts w:ascii="Bookman Old Style" w:eastAsia="Times New Roman" w:hAnsi="Bookman Old Style"/>
        </w:rPr>
        <w:t xml:space="preserve"> de manera inmediata.</w:t>
      </w:r>
    </w:p>
    <w:p w:rsidR="00201818" w:rsidRPr="00FF65F3" w:rsidRDefault="00913C89"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El derecho a accionar a “toda persona” o bien la conocida “acción popular”</w:t>
      </w:r>
      <w:r w:rsidR="0013027C">
        <w:rPr>
          <w:rFonts w:ascii="Bookman Old Style" w:eastAsia="Times New Roman" w:hAnsi="Bookman Old Style"/>
        </w:rPr>
        <w:t xml:space="preserve"> tiene su fundamento en la convicción actual -de la humanidad, de la academia, de la ciencia, de las organizaciones ambientales internacionales, de distintas organizaciones internacionales gubernamentales, de los Estados del sistema internacional y de múltiples actores más-, que el riesgo ambiental constituye un problema de escala global, toda vez que los riesgos nocivos derivados de la contaminación no se hallan limitados geográfica ni sociológicamente sino que, respectivamente, cruzan todo tipo de fronteras y atacan por igual a ricos y pobres</w:t>
      </w:r>
      <w:r w:rsidR="00C069DA">
        <w:rPr>
          <w:rFonts w:ascii="Bookman Old Style" w:eastAsia="Times New Roman" w:hAnsi="Bookman Old Style"/>
        </w:rPr>
        <w:t xml:space="preserve"> (Hermenéutica de la crisis ecológica, Ed. UNIDA </w:t>
      </w:r>
      <w:proofErr w:type="spellStart"/>
      <w:r w:rsidR="00C069DA">
        <w:rPr>
          <w:rFonts w:ascii="Bookman Old Style" w:eastAsia="Times New Roman" w:hAnsi="Bookman Old Style"/>
        </w:rPr>
        <w:t>Bs.As</w:t>
      </w:r>
      <w:proofErr w:type="spellEnd"/>
      <w:r w:rsidR="00C069DA">
        <w:rPr>
          <w:rFonts w:ascii="Bookman Old Style" w:eastAsia="Times New Roman" w:hAnsi="Bookman Old Style"/>
        </w:rPr>
        <w:t xml:space="preserve"> 2000, pag.159). </w:t>
      </w:r>
      <w:r w:rsidR="0013027C">
        <w:rPr>
          <w:rFonts w:ascii="Bookman Old Style" w:eastAsia="Times New Roman" w:hAnsi="Bookman Old Style"/>
        </w:rPr>
        <w:t xml:space="preserve">De allí la existencia o justificación de la “acción popular”, la cual recibe éste nombre porque puede ser interpuesta por “cualquiera del pueblo”, o sea, sin necesidad de que el acto alegue a su favor un derecho o interés propio que considere lesionado por la norma o acto que impugna (Germán Bidart Campos, “El derecho de la Constitución y su fuerza normativa”, Ed. </w:t>
      </w:r>
      <w:proofErr w:type="spellStart"/>
      <w:r w:rsidR="0013027C">
        <w:rPr>
          <w:rFonts w:ascii="Bookman Old Style" w:eastAsia="Times New Roman" w:hAnsi="Bookman Old Style"/>
        </w:rPr>
        <w:t>Ediar</w:t>
      </w:r>
      <w:proofErr w:type="spellEnd"/>
      <w:r w:rsidR="0013027C">
        <w:rPr>
          <w:rFonts w:ascii="Bookman Old Style" w:eastAsia="Times New Roman" w:hAnsi="Bookman Old Style"/>
        </w:rPr>
        <w:t xml:space="preserve"> </w:t>
      </w:r>
      <w:proofErr w:type="spellStart"/>
      <w:r w:rsidR="0013027C">
        <w:rPr>
          <w:rFonts w:ascii="Bookman Old Style" w:eastAsia="Times New Roman" w:hAnsi="Bookman Old Style"/>
        </w:rPr>
        <w:t>Bs.As</w:t>
      </w:r>
      <w:proofErr w:type="spellEnd"/>
      <w:r w:rsidR="0013027C">
        <w:rPr>
          <w:rFonts w:ascii="Bookman Old Style" w:eastAsia="Times New Roman" w:hAnsi="Bookman Old Style"/>
        </w:rPr>
        <w:t>, 1995).</w:t>
      </w:r>
    </w:p>
    <w:p w:rsidR="00122787" w:rsidRDefault="00B35037" w:rsidP="00122787">
      <w:pPr>
        <w:spacing w:after="0" w:line="360" w:lineRule="auto"/>
        <w:ind w:firstLine="2127"/>
        <w:jc w:val="both"/>
        <w:rPr>
          <w:rFonts w:ascii="Bookman Old Style" w:eastAsia="Times New Roman" w:hAnsi="Bookman Old Style"/>
        </w:rPr>
      </w:pPr>
      <w:r>
        <w:rPr>
          <w:rFonts w:ascii="Bookman Old Style" w:eastAsia="Times New Roman" w:hAnsi="Bookman Old Style"/>
        </w:rPr>
        <w:t>Por su parte en la misma inteligencia que se viene señalando,</w:t>
      </w:r>
      <w:r w:rsidR="00122787">
        <w:rPr>
          <w:rFonts w:ascii="Bookman Old Style" w:eastAsia="Times New Roman" w:hAnsi="Bookman Old Style"/>
        </w:rPr>
        <w:t xml:space="preserve"> la Constitución de la Provincia del Ch</w:t>
      </w:r>
      <w:r>
        <w:rPr>
          <w:rFonts w:ascii="Bookman Old Style" w:eastAsia="Times New Roman" w:hAnsi="Bookman Old Style"/>
        </w:rPr>
        <w:t>ubut en el Artículo 109° establece que</w:t>
      </w:r>
      <w:r w:rsidR="00122787">
        <w:rPr>
          <w:rFonts w:ascii="Bookman Old Style" w:eastAsia="Times New Roman" w:hAnsi="Bookman Old Style"/>
        </w:rPr>
        <w:t xml:space="preserve"> “</w:t>
      </w:r>
      <w:r w:rsidR="00122787" w:rsidRPr="00B35037">
        <w:rPr>
          <w:rFonts w:ascii="Bookman Old Style" w:eastAsia="Times New Roman" w:hAnsi="Bookman Old Style"/>
          <w:b/>
          <w:i/>
        </w:rPr>
        <w:t xml:space="preserve">Toda persona tiene derecho </w:t>
      </w:r>
      <w:r w:rsidR="00122787" w:rsidRPr="00B35037">
        <w:rPr>
          <w:rFonts w:ascii="Bookman Old Style" w:eastAsia="Times New Roman" w:hAnsi="Bookman Old Style"/>
          <w:i/>
        </w:rPr>
        <w:t xml:space="preserve">a un medio ambiente sano que asegure la dignidad de su vida y su bienestar y </w:t>
      </w:r>
      <w:r w:rsidR="00122787" w:rsidRPr="00B35037">
        <w:rPr>
          <w:rFonts w:ascii="Bookman Old Style" w:eastAsia="Times New Roman" w:hAnsi="Bookman Old Style"/>
          <w:b/>
          <w:i/>
        </w:rPr>
        <w:t>el deber de su conservación en defensa del interés común</w:t>
      </w:r>
      <w:r w:rsidR="00122787" w:rsidRPr="00B35037">
        <w:rPr>
          <w:rFonts w:ascii="Bookman Old Style" w:eastAsia="Times New Roman" w:hAnsi="Bookman Old Style"/>
          <w:i/>
        </w:rPr>
        <w:t>. El Estado preserva la integridad y diversidad natural y cultural del medio, resguarda su equilibrio y garantiza su protección y mejoramiento en pos del desarrollo humano sin comprometer a las generaciones futuras. Dicta legislación destinada a prevenir y controlar los factores de deterioro ambiental, impone las sanciones correspondientes y exige la reparación de los daños</w:t>
      </w:r>
      <w:r w:rsidR="00122787">
        <w:rPr>
          <w:rFonts w:ascii="Bookman Old Style" w:eastAsia="Times New Roman" w:hAnsi="Bookman Old Style"/>
        </w:rPr>
        <w:t>”</w:t>
      </w:r>
      <w:r w:rsidR="00122787" w:rsidRPr="00122787">
        <w:rPr>
          <w:rFonts w:ascii="Bookman Old Style" w:eastAsia="Times New Roman" w:hAnsi="Bookman Old Style"/>
        </w:rPr>
        <w:t>.</w:t>
      </w:r>
      <w:r w:rsidR="00122787">
        <w:rPr>
          <w:rFonts w:ascii="Bookman Old Style" w:eastAsia="Times New Roman" w:hAnsi="Bookman Old Style"/>
        </w:rPr>
        <w:t xml:space="preserve"> Por otro lado el Artículo 111° de la mencionada Carta Magna Provincial expresa “</w:t>
      </w:r>
      <w:r w:rsidR="00122787" w:rsidRPr="00B35037">
        <w:rPr>
          <w:rFonts w:ascii="Bookman Old Style" w:eastAsia="Times New Roman" w:hAnsi="Bookman Old Style"/>
          <w:b/>
          <w:i/>
        </w:rPr>
        <w:t>Todo habitante puede interponer acción de amparo para obtener de la autoridad judicial la adopción de medidas preventivas</w:t>
      </w:r>
      <w:r w:rsidR="00122787" w:rsidRPr="00B35037">
        <w:rPr>
          <w:rFonts w:ascii="Bookman Old Style" w:eastAsia="Times New Roman" w:hAnsi="Bookman Old Style"/>
          <w:i/>
        </w:rPr>
        <w:t xml:space="preserve"> o correctivas, respecto de hechos producidos o previsibles que impliquen deterioro del medio ambiente</w:t>
      </w:r>
      <w:r w:rsidR="00122787">
        <w:rPr>
          <w:rFonts w:ascii="Bookman Old Style" w:eastAsia="Times New Roman" w:hAnsi="Bookman Old Style"/>
        </w:rPr>
        <w:t xml:space="preserve">”. Asimismo, </w:t>
      </w:r>
      <w:r>
        <w:rPr>
          <w:rFonts w:ascii="Bookman Old Style" w:eastAsia="Times New Roman" w:hAnsi="Bookman Old Style"/>
        </w:rPr>
        <w:t xml:space="preserve">en este orden de ideas, </w:t>
      </w:r>
      <w:r w:rsidR="00122787">
        <w:rPr>
          <w:rFonts w:ascii="Bookman Old Style" w:eastAsia="Times New Roman" w:hAnsi="Bookman Old Style"/>
        </w:rPr>
        <w:t>resulta necesario destacar que el Artículo 66° de la Constitución Provincial expresa</w:t>
      </w:r>
      <w:r>
        <w:rPr>
          <w:rFonts w:ascii="Bookman Old Style" w:eastAsia="Times New Roman" w:hAnsi="Bookman Old Style"/>
        </w:rPr>
        <w:t>,</w:t>
      </w:r>
      <w:r w:rsidR="00122787">
        <w:rPr>
          <w:rFonts w:ascii="Bookman Old Style" w:eastAsia="Times New Roman" w:hAnsi="Bookman Old Style"/>
        </w:rPr>
        <w:t xml:space="preserve"> </w:t>
      </w:r>
      <w:r w:rsidR="00122787" w:rsidRPr="00B35037">
        <w:rPr>
          <w:rFonts w:ascii="Bookman Old Style" w:eastAsia="Times New Roman" w:hAnsi="Bookman Old Style"/>
          <w:i/>
        </w:rPr>
        <w:t>todas las personas en la Provincia tienen los siguientes deberes, “…</w:t>
      </w:r>
      <w:r w:rsidR="00122787" w:rsidRPr="00B35037">
        <w:rPr>
          <w:rFonts w:ascii="Bookman Old Style" w:eastAsia="Times New Roman" w:hAnsi="Bookman Old Style"/>
          <w:b/>
          <w:i/>
        </w:rPr>
        <w:t>3. Resguardar y proteger el patrimonio cultural y natural de la Nación, la Provincia y los municipios</w:t>
      </w:r>
      <w:r w:rsidR="00122787" w:rsidRPr="00B35037">
        <w:rPr>
          <w:rFonts w:ascii="Bookman Old Style" w:eastAsia="Times New Roman" w:hAnsi="Bookman Old Style"/>
          <w:i/>
        </w:rPr>
        <w:t>… …</w:t>
      </w:r>
      <w:r w:rsidR="00122787" w:rsidRPr="00B35037">
        <w:rPr>
          <w:rFonts w:ascii="Bookman Old Style" w:eastAsia="Times New Roman" w:hAnsi="Bookman Old Style"/>
          <w:b/>
          <w:i/>
        </w:rPr>
        <w:t>7. Evitar la contaminación ambiental y participar en la defensa ecológica</w:t>
      </w:r>
      <w:r w:rsidR="00122787">
        <w:rPr>
          <w:rFonts w:ascii="Bookman Old Style" w:eastAsia="Times New Roman" w:hAnsi="Bookman Old Style"/>
        </w:rPr>
        <w:t>…”. Por último el citado cuerpo</w:t>
      </w:r>
      <w:r>
        <w:rPr>
          <w:rFonts w:ascii="Bookman Old Style" w:eastAsia="Times New Roman" w:hAnsi="Bookman Old Style"/>
        </w:rPr>
        <w:t xml:space="preserve"> legal en su Artículo 22° reza</w:t>
      </w:r>
      <w:r w:rsidR="00122787">
        <w:rPr>
          <w:rFonts w:ascii="Bookman Old Style" w:eastAsia="Times New Roman" w:hAnsi="Bookman Old Style"/>
        </w:rPr>
        <w:t xml:space="preserve"> “</w:t>
      </w:r>
      <w:r w:rsidR="00122787" w:rsidRPr="00B35037">
        <w:rPr>
          <w:rFonts w:ascii="Bookman Old Style" w:eastAsia="Times New Roman" w:hAnsi="Bookman Old Style"/>
          <w:i/>
        </w:rPr>
        <w:t xml:space="preserve">Las normas relativas a los derechos fundamentales y a las libertades que la Constitución Nacional y la presente reconocen, se interpretan de conformidad con la Declaración Universal de Derechos Humanos, los tratados y los acuerdos internacionales sobre la misma materia ratificados por la Nación Argentina. </w:t>
      </w:r>
      <w:r w:rsidR="00122787" w:rsidRPr="00B35037">
        <w:rPr>
          <w:rFonts w:ascii="Bookman Old Style" w:eastAsia="Times New Roman" w:hAnsi="Bookman Old Style"/>
          <w:b/>
          <w:i/>
        </w:rPr>
        <w:t>Es responsable el funcionario o magistrado que ordene, consienta o instigue la violación de los derechos humanos u omita tomar las medidas y recaudos tendientes a su preservación</w:t>
      </w:r>
      <w:r w:rsidR="00122787" w:rsidRPr="00B35037">
        <w:rPr>
          <w:rFonts w:ascii="Bookman Old Style" w:eastAsia="Times New Roman" w:hAnsi="Bookman Old Style"/>
          <w:i/>
        </w:rPr>
        <w:t>. La obediencia a órdenes superiores no excusa esta responsabilidad”.</w:t>
      </w:r>
      <w:r w:rsidR="00122787">
        <w:rPr>
          <w:rFonts w:ascii="Bookman Old Style" w:eastAsia="Times New Roman" w:hAnsi="Bookman Old Style"/>
        </w:rPr>
        <w:t xml:space="preserve"> </w:t>
      </w:r>
    </w:p>
    <w:p w:rsidR="007455B1" w:rsidRPr="00B35037" w:rsidRDefault="007455B1" w:rsidP="007455B1">
      <w:pPr>
        <w:spacing w:after="0" w:line="360" w:lineRule="auto"/>
        <w:ind w:firstLine="2127"/>
        <w:jc w:val="both"/>
        <w:rPr>
          <w:rFonts w:ascii="Bookman Old Style" w:eastAsia="Times New Roman" w:hAnsi="Bookman Old Style"/>
          <w:i/>
        </w:rPr>
      </w:pPr>
      <w:r>
        <w:rPr>
          <w:rFonts w:ascii="Bookman Old Style" w:eastAsia="Times New Roman" w:hAnsi="Bookman Old Style"/>
        </w:rPr>
        <w:t xml:space="preserve">El </w:t>
      </w:r>
      <w:r w:rsidRPr="007455B1">
        <w:rPr>
          <w:rFonts w:ascii="Bookman Old Style" w:eastAsia="Times New Roman" w:hAnsi="Bookman Old Style"/>
        </w:rPr>
        <w:t>Artículo 155</w:t>
      </w:r>
      <w:r>
        <w:rPr>
          <w:rFonts w:ascii="Bookman Old Style" w:eastAsia="Times New Roman" w:hAnsi="Bookman Old Style"/>
        </w:rPr>
        <w:t>° de la Ley XI N° 35 expresa</w:t>
      </w:r>
      <w:r w:rsidRPr="007455B1">
        <w:rPr>
          <w:rFonts w:ascii="Bookman Old Style" w:eastAsia="Times New Roman" w:hAnsi="Bookman Old Style"/>
        </w:rPr>
        <w:t xml:space="preserve"> </w:t>
      </w:r>
      <w:r w:rsidRPr="00B35037">
        <w:rPr>
          <w:rFonts w:ascii="Bookman Old Style" w:eastAsia="Times New Roman" w:hAnsi="Bookman Old Style"/>
          <w:i/>
        </w:rPr>
        <w:t xml:space="preserve">“Para la protección de los derechos e intereses de incidencia colectiva en general y el amparo ambiental, </w:t>
      </w:r>
      <w:r w:rsidR="00B35037">
        <w:rPr>
          <w:rFonts w:ascii="Bookman Old Style" w:eastAsia="Times New Roman" w:hAnsi="Bookman Old Style"/>
          <w:i/>
        </w:rPr>
        <w:t xml:space="preserve">previstos en los artículos 57 y </w:t>
      </w:r>
      <w:r w:rsidRPr="00B35037">
        <w:rPr>
          <w:rFonts w:ascii="Bookman Old Style" w:eastAsia="Times New Roman" w:hAnsi="Bookman Old Style"/>
          <w:i/>
        </w:rPr>
        <w:t>111 de la Constitución Provincial, respectivamente, rigen las normas de la acción de amparo previstas en el Título II de la Ley V Nº 84 (Antes Ley 4.572) y las que conforman el presente Capítulo.”</w:t>
      </w:r>
      <w:r>
        <w:rPr>
          <w:rFonts w:ascii="Bookman Old Style" w:eastAsia="Times New Roman" w:hAnsi="Bookman Old Style"/>
        </w:rPr>
        <w:t xml:space="preserve">; el </w:t>
      </w:r>
      <w:r w:rsidRPr="007455B1">
        <w:rPr>
          <w:rFonts w:ascii="Bookman Old Style" w:eastAsia="Times New Roman" w:hAnsi="Bookman Old Style"/>
        </w:rPr>
        <w:t>Artículo 156</w:t>
      </w:r>
      <w:r>
        <w:rPr>
          <w:rFonts w:ascii="Bookman Old Style" w:eastAsia="Times New Roman" w:hAnsi="Bookman Old Style"/>
        </w:rPr>
        <w:t>°</w:t>
      </w:r>
      <w:r w:rsidR="00B35037">
        <w:rPr>
          <w:rFonts w:ascii="Bookman Old Style" w:eastAsia="Times New Roman" w:hAnsi="Bookman Old Style"/>
        </w:rPr>
        <w:t xml:space="preserve"> prevé que</w:t>
      </w:r>
      <w:r>
        <w:rPr>
          <w:rFonts w:ascii="Bookman Old Style" w:eastAsia="Times New Roman" w:hAnsi="Bookman Old Style"/>
        </w:rPr>
        <w:t xml:space="preserve"> </w:t>
      </w:r>
      <w:r w:rsidRPr="00B35037">
        <w:rPr>
          <w:rFonts w:ascii="Bookman Old Style" w:eastAsia="Times New Roman" w:hAnsi="Bookman Old Style"/>
          <w:i/>
        </w:rPr>
        <w:t>“</w:t>
      </w:r>
      <w:r w:rsidRPr="00B35037">
        <w:rPr>
          <w:rFonts w:ascii="Bookman Old Style" w:eastAsia="Times New Roman" w:hAnsi="Bookman Old Style"/>
          <w:b/>
          <w:i/>
        </w:rPr>
        <w:t>Están legitimados para ejercer e impulsar las acciones previstas en el presente Capítulo</w:t>
      </w:r>
      <w:r w:rsidRPr="00B35037">
        <w:rPr>
          <w:rFonts w:ascii="Bookman Old Style" w:eastAsia="Times New Roman" w:hAnsi="Bookman Old Style"/>
          <w:i/>
        </w:rPr>
        <w:t xml:space="preserve"> el Estado provincial, los municipios y comunas, el Ministerio Público Fiscal, el Ministerio Público Pupilar, el Defensor del Pueblo, las entidades legalmente constituidas para la defensa de los intereses difusos o colectivos y </w:t>
      </w:r>
      <w:r w:rsidRPr="00B35037">
        <w:rPr>
          <w:rFonts w:ascii="Bookman Old Style" w:eastAsia="Times New Roman" w:hAnsi="Bookman Old Style"/>
          <w:b/>
          <w:i/>
        </w:rPr>
        <w:t>cualquier persona jurídica o de existencia visible que accione en nombre de un interés colectivo</w:t>
      </w:r>
      <w:r w:rsidRPr="00B35037">
        <w:rPr>
          <w:rFonts w:ascii="Bookman Old Style" w:eastAsia="Times New Roman" w:hAnsi="Bookman Old Style"/>
          <w:i/>
        </w:rPr>
        <w:t>.”</w:t>
      </w:r>
      <w:r w:rsidR="00B35037">
        <w:rPr>
          <w:rFonts w:ascii="Bookman Old Style" w:eastAsia="Times New Roman" w:hAnsi="Bookman Old Style"/>
        </w:rPr>
        <w:t xml:space="preserve"> Y,</w:t>
      </w:r>
      <w:r>
        <w:rPr>
          <w:rFonts w:ascii="Bookman Old Style" w:eastAsia="Times New Roman" w:hAnsi="Bookman Old Style"/>
        </w:rPr>
        <w:t xml:space="preserve"> </w:t>
      </w:r>
      <w:r w:rsidR="00B35037">
        <w:rPr>
          <w:rFonts w:ascii="Bookman Old Style" w:eastAsia="Times New Roman" w:hAnsi="Bookman Old Style"/>
        </w:rPr>
        <w:t>en relación</w:t>
      </w:r>
      <w:r w:rsidR="000705AA">
        <w:rPr>
          <w:rFonts w:ascii="Bookman Old Style" w:eastAsia="Times New Roman" w:hAnsi="Bookman Old Style"/>
        </w:rPr>
        <w:t xml:space="preserve"> a la Legitimación Pasiva el 159° expresa </w:t>
      </w:r>
      <w:r w:rsidRPr="00B35037">
        <w:rPr>
          <w:rFonts w:ascii="Bookman Old Style" w:eastAsia="Times New Roman" w:hAnsi="Bookman Old Style"/>
          <w:i/>
        </w:rPr>
        <w:t xml:space="preserve">“Son legitimados pasivos de las acciones previstas en el presente Capítulo, las personas físicas o jurídicas, públicas o privadas que en forma directa, o a través de terceros, sean responsables de hechos, actos u omisiones que generen perturbación, privación, daño, amenaza o menoscabo de los intereses difusos o derechos colectivos”. </w:t>
      </w:r>
    </w:p>
    <w:p w:rsidR="000705AA" w:rsidRDefault="000705AA" w:rsidP="000705AA">
      <w:pPr>
        <w:spacing w:after="0" w:line="360" w:lineRule="auto"/>
        <w:ind w:firstLine="2127"/>
        <w:jc w:val="both"/>
        <w:rPr>
          <w:rFonts w:ascii="Bookman Old Style" w:eastAsia="Times New Roman" w:hAnsi="Bookman Old Style"/>
        </w:rPr>
      </w:pPr>
      <w:r w:rsidRPr="000705AA">
        <w:rPr>
          <w:rFonts w:ascii="Bookman Old Style" w:eastAsia="Times New Roman" w:hAnsi="Bookman Old Style"/>
        </w:rPr>
        <w:t>En sínte</w:t>
      </w:r>
      <w:r>
        <w:rPr>
          <w:rFonts w:ascii="Bookman Old Style" w:eastAsia="Times New Roman" w:hAnsi="Bookman Old Style"/>
        </w:rPr>
        <w:t>sis,</w:t>
      </w:r>
      <w:r w:rsidR="00B35037">
        <w:rPr>
          <w:rFonts w:ascii="Bookman Old Style" w:eastAsia="Times New Roman" w:hAnsi="Bookman Old Style"/>
        </w:rPr>
        <w:t xml:space="preserve"> como se puede advertir de lo expuesto,</w:t>
      </w:r>
      <w:r>
        <w:rPr>
          <w:rFonts w:ascii="Bookman Old Style" w:eastAsia="Times New Roman" w:hAnsi="Bookman Old Style"/>
        </w:rPr>
        <w:t xml:space="preserve"> luego de la sanción de la L</w:t>
      </w:r>
      <w:r w:rsidRPr="000705AA">
        <w:rPr>
          <w:rFonts w:ascii="Bookman Old Style" w:eastAsia="Times New Roman" w:hAnsi="Bookman Old Style"/>
        </w:rPr>
        <w:t xml:space="preserve">ey </w:t>
      </w:r>
      <w:r w:rsidR="005C0028">
        <w:rPr>
          <w:rFonts w:ascii="Bookman Old Style" w:eastAsia="Times New Roman" w:hAnsi="Bookman Old Style"/>
        </w:rPr>
        <w:t xml:space="preserve">N° </w:t>
      </w:r>
      <w:r w:rsidRPr="000705AA">
        <w:rPr>
          <w:rFonts w:ascii="Bookman Old Style" w:eastAsia="Times New Roman" w:hAnsi="Bookman Old Style"/>
        </w:rPr>
        <w:t>25.675</w:t>
      </w:r>
      <w:r w:rsidR="00B35037">
        <w:rPr>
          <w:rFonts w:ascii="Bookman Old Style" w:eastAsia="Times New Roman" w:hAnsi="Bookman Old Style"/>
        </w:rPr>
        <w:t>,</w:t>
      </w:r>
      <w:r w:rsidRPr="000705AA">
        <w:rPr>
          <w:rFonts w:ascii="Bookman Old Style" w:eastAsia="Times New Roman" w:hAnsi="Bookman Old Style"/>
        </w:rPr>
        <w:t xml:space="preserve"> para detener el daño</w:t>
      </w:r>
      <w:r w:rsidR="00B35037">
        <w:rPr>
          <w:rFonts w:ascii="Bookman Old Style" w:eastAsia="Times New Roman" w:hAnsi="Bookman Old Style"/>
        </w:rPr>
        <w:t xml:space="preserve"> ambiental</w:t>
      </w:r>
      <w:r w:rsidRPr="000705AA">
        <w:rPr>
          <w:rFonts w:ascii="Bookman Old Style" w:eastAsia="Times New Roman" w:hAnsi="Bookman Old Style"/>
        </w:rPr>
        <w:t xml:space="preserve"> se ha extremado el</w:t>
      </w:r>
      <w:r>
        <w:rPr>
          <w:rFonts w:ascii="Bookman Old Style" w:eastAsia="Times New Roman" w:hAnsi="Bookman Old Style"/>
        </w:rPr>
        <w:t xml:space="preserve"> </w:t>
      </w:r>
      <w:r w:rsidRPr="000705AA">
        <w:rPr>
          <w:rFonts w:ascii="Bookman Old Style" w:eastAsia="Times New Roman" w:hAnsi="Bookman Old Style"/>
        </w:rPr>
        <w:t>nivel participativo admitiendo la legitimación de “toda persona” sin que necesariamente sea el</w:t>
      </w:r>
      <w:r>
        <w:rPr>
          <w:rFonts w:ascii="Bookman Old Style" w:eastAsia="Times New Roman" w:hAnsi="Bookman Old Style"/>
        </w:rPr>
        <w:t xml:space="preserve"> </w:t>
      </w:r>
      <w:r w:rsidRPr="000705AA">
        <w:rPr>
          <w:rFonts w:ascii="Bookman Old Style" w:eastAsia="Times New Roman" w:hAnsi="Bookman Old Style"/>
        </w:rPr>
        <w:t>habitante del lugar donde el daño se produjo. El concepto de afectado en tanto habitante del</w:t>
      </w:r>
      <w:r>
        <w:rPr>
          <w:rFonts w:ascii="Bookman Old Style" w:eastAsia="Times New Roman" w:hAnsi="Bookman Old Style"/>
        </w:rPr>
        <w:t xml:space="preserve"> </w:t>
      </w:r>
      <w:r w:rsidRPr="000705AA">
        <w:rPr>
          <w:rFonts w:ascii="Bookman Old Style" w:eastAsia="Times New Roman" w:hAnsi="Bookman Old Style"/>
        </w:rPr>
        <w:t xml:space="preserve">lugar ha quedado </w:t>
      </w:r>
      <w:r w:rsidR="00B35037">
        <w:rPr>
          <w:rFonts w:ascii="Bookman Old Style" w:eastAsia="Times New Roman" w:hAnsi="Bookman Old Style"/>
        </w:rPr>
        <w:t xml:space="preserve">relegado o bien </w:t>
      </w:r>
      <w:r w:rsidRPr="000705AA">
        <w:rPr>
          <w:rFonts w:ascii="Bookman Old Style" w:eastAsia="Times New Roman" w:hAnsi="Bookman Old Style"/>
        </w:rPr>
        <w:t>restringido para la acción de recomposición</w:t>
      </w:r>
      <w:r w:rsidR="00B35037">
        <w:rPr>
          <w:rFonts w:ascii="Bookman Old Style" w:eastAsia="Times New Roman" w:hAnsi="Bookman Old Style"/>
        </w:rPr>
        <w:t xml:space="preserve"> e indemnizatoria.</w:t>
      </w:r>
      <w:r w:rsidR="00794960">
        <w:rPr>
          <w:rFonts w:ascii="Bookman Old Style" w:eastAsia="Times New Roman" w:hAnsi="Bookman Old Style"/>
        </w:rPr>
        <w:t xml:space="preserve"> Entiendo que nunca estaría</w:t>
      </w:r>
      <w:r w:rsidRPr="000705AA">
        <w:rPr>
          <w:rFonts w:ascii="Bookman Old Style" w:eastAsia="Times New Roman" w:hAnsi="Bookman Old Style"/>
        </w:rPr>
        <w:t xml:space="preserve"> mal la apertura </w:t>
      </w:r>
      <w:proofErr w:type="spellStart"/>
      <w:r w:rsidRPr="000705AA">
        <w:rPr>
          <w:rFonts w:ascii="Bookman Old Style" w:eastAsia="Times New Roman" w:hAnsi="Bookman Old Style"/>
        </w:rPr>
        <w:t>legitimatoria</w:t>
      </w:r>
      <w:proofErr w:type="spellEnd"/>
      <w:r w:rsidRPr="000705AA">
        <w:rPr>
          <w:rFonts w:ascii="Bookman Old Style" w:eastAsia="Times New Roman" w:hAnsi="Bookman Old Style"/>
        </w:rPr>
        <w:t xml:space="preserve"> para que los jueces ejerzan el control d</w:t>
      </w:r>
      <w:r w:rsidR="00794960">
        <w:rPr>
          <w:rFonts w:ascii="Bookman Old Style" w:eastAsia="Times New Roman" w:hAnsi="Bookman Old Style"/>
        </w:rPr>
        <w:t>e constitucionalidad frente a una</w:t>
      </w:r>
      <w:r w:rsidRPr="000705AA">
        <w:rPr>
          <w:rFonts w:ascii="Bookman Old Style" w:eastAsia="Times New Roman" w:hAnsi="Bookman Old Style"/>
        </w:rPr>
        <w:t xml:space="preserve"> legalidad </w:t>
      </w:r>
      <w:r w:rsidR="00794960">
        <w:rPr>
          <w:rFonts w:ascii="Bookman Old Style" w:eastAsia="Times New Roman" w:hAnsi="Bookman Old Style"/>
        </w:rPr>
        <w:t xml:space="preserve">manifiestamente </w:t>
      </w:r>
      <w:r w:rsidRPr="000705AA">
        <w:rPr>
          <w:rFonts w:ascii="Bookman Old Style" w:eastAsia="Times New Roman" w:hAnsi="Bookman Old Style"/>
        </w:rPr>
        <w:t>alterada.</w:t>
      </w:r>
      <w:r w:rsidR="00794960">
        <w:rPr>
          <w:rFonts w:ascii="Bookman Old Style" w:eastAsia="Times New Roman" w:hAnsi="Bookman Old Style"/>
        </w:rPr>
        <w:t xml:space="preserve"> Ahora bien, en</w:t>
      </w:r>
      <w:r w:rsidRPr="000705AA">
        <w:rPr>
          <w:rFonts w:ascii="Bookman Old Style" w:eastAsia="Times New Roman" w:hAnsi="Bookman Old Style"/>
        </w:rPr>
        <w:t xml:space="preserve"> todo caso será </w:t>
      </w:r>
      <w:r w:rsidR="00794960">
        <w:rPr>
          <w:rFonts w:ascii="Bookman Old Style" w:eastAsia="Times New Roman" w:hAnsi="Bookman Old Style"/>
        </w:rPr>
        <w:t>V.S</w:t>
      </w:r>
      <w:r w:rsidRPr="000705AA">
        <w:rPr>
          <w:rFonts w:ascii="Bookman Old Style" w:eastAsia="Times New Roman" w:hAnsi="Bookman Old Style"/>
        </w:rPr>
        <w:t xml:space="preserve"> quien verificará si se ha dado </w:t>
      </w:r>
      <w:r w:rsidR="00794960">
        <w:rPr>
          <w:rFonts w:ascii="Bookman Old Style" w:eastAsia="Times New Roman" w:hAnsi="Bookman Old Style"/>
        </w:rPr>
        <w:t>o no la alteración del bien. De cualquier modo valdría la pena tener en cuenta</w:t>
      </w:r>
      <w:r w:rsidRPr="000705AA">
        <w:rPr>
          <w:rFonts w:ascii="Bookman Old Style" w:eastAsia="Times New Roman" w:hAnsi="Bookman Old Style"/>
        </w:rPr>
        <w:t xml:space="preserve"> q</w:t>
      </w:r>
      <w:r w:rsidR="00794960">
        <w:rPr>
          <w:rFonts w:ascii="Bookman Old Style" w:eastAsia="Times New Roman" w:hAnsi="Bookman Old Style"/>
        </w:rPr>
        <w:t xml:space="preserve">ue en éste aspecto debería jugar un rol trascendente </w:t>
      </w:r>
      <w:r>
        <w:rPr>
          <w:rFonts w:ascii="Bookman Old Style" w:eastAsia="Times New Roman" w:hAnsi="Bookman Old Style"/>
        </w:rPr>
        <w:t xml:space="preserve">el principio pro </w:t>
      </w:r>
      <w:r w:rsidR="00794960">
        <w:rPr>
          <w:rFonts w:ascii="Bookman Old Style" w:eastAsia="Times New Roman" w:hAnsi="Bookman Old Style"/>
        </w:rPr>
        <w:t>h</w:t>
      </w:r>
      <w:r>
        <w:rPr>
          <w:rFonts w:ascii="Bookman Old Style" w:eastAsia="Times New Roman" w:hAnsi="Bookman Old Style"/>
        </w:rPr>
        <w:t>omine</w:t>
      </w:r>
      <w:r w:rsidR="00794960">
        <w:rPr>
          <w:rFonts w:ascii="Bookman Old Style" w:eastAsia="Times New Roman" w:hAnsi="Bookman Old Style"/>
        </w:rPr>
        <w:t>.</w:t>
      </w:r>
    </w:p>
    <w:p w:rsidR="00E53DEF" w:rsidRDefault="00794960"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En cuanto a la temporalidad d</w:t>
      </w:r>
      <w:r w:rsidR="006B6AA9">
        <w:rPr>
          <w:rFonts w:ascii="Bookman Old Style" w:eastAsia="Times New Roman" w:hAnsi="Bookman Old Style"/>
        </w:rPr>
        <w:t xml:space="preserve">e la acción y teniendo en cuenta lo que al respecto establece la Ley Provincial V N° 84, </w:t>
      </w:r>
      <w:r>
        <w:rPr>
          <w:rFonts w:ascii="Bookman Old Style" w:eastAsia="Times New Roman" w:hAnsi="Bookman Old Style"/>
        </w:rPr>
        <w:t>es necesario señalar que</w:t>
      </w:r>
      <w:r w:rsidR="00281FEE" w:rsidRPr="00FF65F3">
        <w:rPr>
          <w:rFonts w:ascii="Bookman Old Style" w:eastAsia="Times New Roman" w:hAnsi="Bookman Old Style"/>
        </w:rPr>
        <w:t xml:space="preserve"> el plazo del presente Amparo se renueva día a día dado que nos encontramos </w:t>
      </w:r>
      <w:r>
        <w:rPr>
          <w:rFonts w:ascii="Bookman Old Style" w:eastAsia="Times New Roman" w:hAnsi="Bookman Old Style"/>
        </w:rPr>
        <w:t>ante</w:t>
      </w:r>
      <w:r w:rsidR="00281FEE" w:rsidRPr="00FF65F3">
        <w:rPr>
          <w:rFonts w:ascii="Bookman Old Style" w:eastAsia="Times New Roman" w:hAnsi="Bookman Old Style"/>
        </w:rPr>
        <w:t xml:space="preserve"> un caso de daño continuado, no siendo posible esgrimir algún tipo de caducidad o prescripción.</w:t>
      </w:r>
      <w:r w:rsidR="00136E1D">
        <w:rPr>
          <w:rFonts w:ascii="Bookman Old Style" w:eastAsia="Times New Roman" w:hAnsi="Bookman Old Style"/>
        </w:rPr>
        <w:t xml:space="preserve"> </w:t>
      </w:r>
      <w:r w:rsidR="00136E1D" w:rsidRPr="00136E1D">
        <w:rPr>
          <w:rFonts w:ascii="Bookman Old Style" w:eastAsia="Times New Roman" w:hAnsi="Bookman Old Style"/>
          <w:b/>
        </w:rPr>
        <w:t>Sin perjuicio de ello, mi interés y conocimiento sobre el tema en cuestión surge a partir de la nota del Diario de Madryn</w:t>
      </w:r>
      <w:r w:rsidR="00136E1D">
        <w:rPr>
          <w:rFonts w:ascii="Bookman Old Style" w:eastAsia="Times New Roman" w:hAnsi="Bookman Old Style"/>
        </w:rPr>
        <w:t xml:space="preserve">, “Las Pesqueras Capitalinas deberán instalar plantas de efluentes líquidos”, </w:t>
      </w:r>
      <w:r w:rsidR="00136E1D" w:rsidRPr="00136E1D">
        <w:rPr>
          <w:rFonts w:ascii="Bookman Old Style" w:eastAsia="Times New Roman" w:hAnsi="Bookman Old Style"/>
          <w:b/>
        </w:rPr>
        <w:t>de fecha 09 de julio de 2018</w:t>
      </w:r>
      <w:r w:rsidR="00136E1D">
        <w:rPr>
          <w:rFonts w:ascii="Bookman Old Style" w:eastAsia="Times New Roman" w:hAnsi="Bookman Old Style"/>
        </w:rPr>
        <w:t>.</w:t>
      </w:r>
    </w:p>
    <w:p w:rsidR="00281FEE" w:rsidRDefault="00794960"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 xml:space="preserve">Sobreabundando en relación al tipo de daño, es interesante lo que al respecto expone </w:t>
      </w:r>
      <w:r w:rsidR="00281FEE" w:rsidRPr="00FF65F3">
        <w:rPr>
          <w:rFonts w:ascii="Bookman Old Style" w:eastAsia="Times New Roman" w:hAnsi="Bookman Old Style"/>
        </w:rPr>
        <w:t xml:space="preserve">el Doctor </w:t>
      </w:r>
      <w:r w:rsidR="00BD18D4" w:rsidRPr="00FF65F3">
        <w:rPr>
          <w:rFonts w:ascii="Bookman Old Style" w:eastAsia="Times New Roman" w:hAnsi="Bookman Old Style"/>
        </w:rPr>
        <w:t>Néstor</w:t>
      </w:r>
      <w:r w:rsidR="00281FEE" w:rsidRPr="00FF65F3">
        <w:rPr>
          <w:rFonts w:ascii="Bookman Old Style" w:eastAsia="Times New Roman" w:hAnsi="Bookman Old Style"/>
        </w:rPr>
        <w:t xml:space="preserve"> CAFFERATTA</w:t>
      </w:r>
      <w:r w:rsidR="00BD18D4" w:rsidRPr="00FF65F3">
        <w:rPr>
          <w:rFonts w:ascii="Bookman Old Style" w:eastAsia="Times New Roman" w:hAnsi="Bookman Old Style"/>
        </w:rPr>
        <w:t xml:space="preserve">, </w:t>
      </w:r>
      <w:r w:rsidR="00BD18D4" w:rsidRPr="00794960">
        <w:rPr>
          <w:rFonts w:ascii="Bookman Old Style" w:eastAsia="Times New Roman" w:hAnsi="Bookman Old Style"/>
          <w:i/>
        </w:rPr>
        <w:t xml:space="preserve">la agresión medioambiental puede ser desparramada, difusa, cambiante, </w:t>
      </w:r>
      <w:r w:rsidRPr="00794960">
        <w:rPr>
          <w:rFonts w:ascii="Bookman Old Style" w:eastAsia="Times New Roman" w:hAnsi="Bookman Old Style"/>
          <w:i/>
        </w:rPr>
        <w:t>traslaticia</w:t>
      </w:r>
      <w:r w:rsidR="00BD18D4" w:rsidRPr="00794960">
        <w:rPr>
          <w:rFonts w:ascii="Bookman Old Style" w:eastAsia="Times New Roman" w:hAnsi="Bookman Old Style"/>
          <w:i/>
        </w:rPr>
        <w:t xml:space="preserve">, nómada, itinerante, difícilmente contenible, viajera, mutante, desconcertante, sin límites geográficos, temporales, impersonales, potencialmente expansiva, multiplicadora, en ocasiones con efectos retardatorio, progresivo, </w:t>
      </w:r>
      <w:r w:rsidR="00F1312D" w:rsidRPr="00794960">
        <w:rPr>
          <w:rFonts w:ascii="Bookman Old Style" w:eastAsia="Times New Roman" w:hAnsi="Bookman Old Style"/>
          <w:i/>
        </w:rPr>
        <w:t xml:space="preserve">acumulativo, sinérgico, invisible, silencioso, mortal o altamente riesgoso, explosivo o tóxico, degradante, capaz de provocar en su camino o desarrollo múltiples daños, supraindividuales y/o individuales, de afectación patrimonial o extrapatrimonial en derechos de la salud o derechos personalísimos y/o coparticipados, insignificantes o pequeños hasta verdaderos desastres o estragos de efectos impredecibles. </w:t>
      </w:r>
      <w:r w:rsidRPr="00794960">
        <w:rPr>
          <w:rFonts w:ascii="Bookman Old Style" w:eastAsia="Times New Roman" w:hAnsi="Bookman Old Style"/>
          <w:i/>
        </w:rPr>
        <w:t>Entonces, d</w:t>
      </w:r>
      <w:r w:rsidR="00F1312D" w:rsidRPr="00794960">
        <w:rPr>
          <w:rFonts w:ascii="Bookman Old Style" w:eastAsia="Times New Roman" w:hAnsi="Bookman Old Style"/>
          <w:i/>
        </w:rPr>
        <w:t xml:space="preserve">esde el punto de vista temporal el daño ambiental se podría catalogar como continuado, permanente o bien progresivo. </w:t>
      </w:r>
      <w:r w:rsidR="00F1312D" w:rsidRPr="00794960">
        <w:rPr>
          <w:rFonts w:ascii="Bookman Old Style" w:eastAsia="Times New Roman" w:hAnsi="Bookman Old Style"/>
          <w:i/>
          <w:u w:val="single"/>
        </w:rPr>
        <w:t xml:space="preserve">El daño continuado es aquel producto de un proceso dilatado en el tiempo, y por lo tanto su desarrollo no es consecuencia de una única acción localizable en el tiempo, </w:t>
      </w:r>
      <w:r w:rsidR="00F1312D" w:rsidRPr="00794960">
        <w:rPr>
          <w:rFonts w:ascii="Bookman Old Style" w:eastAsia="Times New Roman" w:hAnsi="Bookman Old Style"/>
          <w:i/>
        </w:rPr>
        <w:t>sino que es obra de un conjunto o sucesión de actos, de un mismo o varios autores, en épocas diversas. Si los efectos del daño ambiental continúan en el tiempo, estaríamos en presencia de un daño permanente</w:t>
      </w:r>
      <w:r w:rsidR="00F1312D" w:rsidRPr="00FF65F3">
        <w:rPr>
          <w:rFonts w:ascii="Bookman Old Style" w:eastAsia="Times New Roman" w:hAnsi="Bookman Old Style"/>
        </w:rPr>
        <w:t>.</w:t>
      </w:r>
    </w:p>
    <w:p w:rsidR="005C0028" w:rsidRDefault="005C0028" w:rsidP="00FF65F3">
      <w:pPr>
        <w:spacing w:after="0" w:line="360" w:lineRule="auto"/>
        <w:ind w:firstLine="2127"/>
        <w:jc w:val="both"/>
        <w:rPr>
          <w:rFonts w:ascii="Bookman Old Style" w:eastAsia="Times New Roman" w:hAnsi="Bookman Old Style"/>
        </w:rPr>
      </w:pPr>
    </w:p>
    <w:p w:rsidR="005D1238" w:rsidRDefault="005C0028" w:rsidP="005C0028">
      <w:pPr>
        <w:spacing w:after="0" w:line="360" w:lineRule="auto"/>
        <w:ind w:firstLine="2127"/>
        <w:jc w:val="both"/>
        <w:rPr>
          <w:rFonts w:ascii="Bookman Old Style" w:eastAsia="Times New Roman" w:hAnsi="Bookman Old Style"/>
          <w:b/>
          <w:u w:val="single"/>
        </w:rPr>
      </w:pPr>
      <w:r w:rsidRPr="008036C8">
        <w:rPr>
          <w:rFonts w:ascii="Bookman Old Style" w:eastAsia="Times New Roman" w:hAnsi="Bookman Old Style"/>
          <w:b/>
          <w:u w:val="single"/>
        </w:rPr>
        <w:t>IV</w:t>
      </w:r>
      <w:r>
        <w:rPr>
          <w:rFonts w:ascii="Bookman Old Style" w:eastAsia="Times New Roman" w:hAnsi="Bookman Old Style"/>
          <w:b/>
          <w:u w:val="single"/>
        </w:rPr>
        <w:t>.</w:t>
      </w:r>
      <w:r w:rsidR="005D1238">
        <w:rPr>
          <w:rFonts w:ascii="Bookman Old Style" w:eastAsia="Times New Roman" w:hAnsi="Bookman Old Style"/>
          <w:b/>
          <w:u w:val="single"/>
        </w:rPr>
        <w:t xml:space="preserve"> COMPETENCIA.</w:t>
      </w:r>
      <w:r w:rsidRPr="008036C8">
        <w:rPr>
          <w:rFonts w:ascii="Bookman Old Style" w:eastAsia="Times New Roman" w:hAnsi="Bookman Old Style"/>
          <w:b/>
          <w:u w:val="single"/>
        </w:rPr>
        <w:t xml:space="preserve"> </w:t>
      </w:r>
    </w:p>
    <w:p w:rsidR="00B104FE" w:rsidRDefault="00B104FE" w:rsidP="005C0028">
      <w:pPr>
        <w:spacing w:after="0" w:line="360" w:lineRule="auto"/>
        <w:ind w:firstLine="2127"/>
        <w:jc w:val="both"/>
        <w:rPr>
          <w:rFonts w:ascii="Bookman Old Style" w:eastAsia="Times New Roman" w:hAnsi="Bookman Old Style"/>
        </w:rPr>
      </w:pPr>
      <w:r>
        <w:rPr>
          <w:rFonts w:ascii="Bookman Old Style" w:eastAsia="Times New Roman" w:hAnsi="Bookman Old Style"/>
        </w:rPr>
        <w:t>Frente al avasallamiento sistemático y continuado, de la</w:t>
      </w:r>
      <w:r w:rsidRPr="00FF65F3">
        <w:rPr>
          <w:rFonts w:ascii="Bookman Old Style" w:eastAsia="Times New Roman" w:hAnsi="Bookman Old Style"/>
        </w:rPr>
        <w:t xml:space="preserve"> Constitución Nacional, </w:t>
      </w:r>
      <w:r>
        <w:rPr>
          <w:rFonts w:ascii="Bookman Old Style" w:eastAsia="Times New Roman" w:hAnsi="Bookman Old Style"/>
        </w:rPr>
        <w:t xml:space="preserve">de </w:t>
      </w:r>
      <w:r w:rsidRPr="00FF65F3">
        <w:rPr>
          <w:rFonts w:ascii="Bookman Old Style" w:eastAsia="Times New Roman" w:hAnsi="Bookman Old Style"/>
        </w:rPr>
        <w:t>las Leyes Nacionales N° 25.612 “Gestión Integral de Residuos Industriales y Actividades de Servicios” y N° 25.675 “Ley General del Ambiente”,</w:t>
      </w:r>
      <w:r>
        <w:rPr>
          <w:rFonts w:ascii="Bookman Old Style" w:eastAsia="Times New Roman" w:hAnsi="Bookman Old Style"/>
        </w:rPr>
        <w:t xml:space="preserve"> de la Constitución Provincial  y </w:t>
      </w:r>
      <w:r w:rsidRPr="00FF65F3">
        <w:rPr>
          <w:rFonts w:ascii="Bookman Old Style" w:eastAsia="Times New Roman" w:hAnsi="Bookman Old Style"/>
        </w:rPr>
        <w:t>de la Ley XI N° 35 “Código Ambiental del Chubut”</w:t>
      </w:r>
      <w:r>
        <w:rPr>
          <w:rFonts w:ascii="Bookman Old Style" w:eastAsia="Times New Roman" w:hAnsi="Bookman Old Style"/>
        </w:rPr>
        <w:t xml:space="preserve"> VS es competente para entender en el presente Amparo, en función de los artículos Constitucionales mencio</w:t>
      </w:r>
      <w:r w:rsidR="00EF706E">
        <w:rPr>
          <w:rFonts w:ascii="Bookman Old Style" w:eastAsia="Times New Roman" w:hAnsi="Bookman Old Style"/>
        </w:rPr>
        <w:t>nados, la Ley V N° 84 artículos 3</w:t>
      </w:r>
      <w:r w:rsidR="003E429B">
        <w:rPr>
          <w:rFonts w:ascii="Bookman Old Style" w:eastAsia="Times New Roman" w:hAnsi="Bookman Old Style"/>
        </w:rPr>
        <w:t>°</w:t>
      </w:r>
      <w:r w:rsidR="00EF706E">
        <w:rPr>
          <w:rFonts w:ascii="Bookman Old Style" w:eastAsia="Times New Roman" w:hAnsi="Bookman Old Style"/>
        </w:rPr>
        <w:t>, 4</w:t>
      </w:r>
      <w:r w:rsidR="003E429B">
        <w:rPr>
          <w:rFonts w:ascii="Bookman Old Style" w:eastAsia="Times New Roman" w:hAnsi="Bookman Old Style"/>
        </w:rPr>
        <w:t>°</w:t>
      </w:r>
      <w:r w:rsidR="00EF706E">
        <w:rPr>
          <w:rFonts w:ascii="Bookman Old Style" w:eastAsia="Times New Roman" w:hAnsi="Bookman Old Style"/>
        </w:rPr>
        <w:t>, 18</w:t>
      </w:r>
      <w:r w:rsidR="003E429B">
        <w:rPr>
          <w:rFonts w:ascii="Bookman Old Style" w:eastAsia="Times New Roman" w:hAnsi="Bookman Old Style"/>
        </w:rPr>
        <w:t>°</w:t>
      </w:r>
      <w:r w:rsidR="00EF706E">
        <w:rPr>
          <w:rFonts w:ascii="Bookman Old Style" w:eastAsia="Times New Roman" w:hAnsi="Bookman Old Style"/>
        </w:rPr>
        <w:t>, 20</w:t>
      </w:r>
      <w:r w:rsidR="003E429B">
        <w:rPr>
          <w:rFonts w:ascii="Bookman Old Style" w:eastAsia="Times New Roman" w:hAnsi="Bookman Old Style"/>
        </w:rPr>
        <w:t>°</w:t>
      </w:r>
      <w:r w:rsidR="00EF706E">
        <w:rPr>
          <w:rFonts w:ascii="Bookman Old Style" w:eastAsia="Times New Roman" w:hAnsi="Bookman Old Style"/>
        </w:rPr>
        <w:t>, 21</w:t>
      </w:r>
      <w:r w:rsidR="003E429B">
        <w:rPr>
          <w:rFonts w:ascii="Bookman Old Style" w:eastAsia="Times New Roman" w:hAnsi="Bookman Old Style"/>
        </w:rPr>
        <w:t>°</w:t>
      </w:r>
      <w:r w:rsidR="00EF706E">
        <w:rPr>
          <w:rFonts w:ascii="Bookman Old Style" w:eastAsia="Times New Roman" w:hAnsi="Bookman Old Style"/>
        </w:rPr>
        <w:t xml:space="preserve"> y 22</w:t>
      </w:r>
      <w:r w:rsidR="003E429B">
        <w:rPr>
          <w:rFonts w:ascii="Bookman Old Style" w:eastAsia="Times New Roman" w:hAnsi="Bookman Old Style"/>
        </w:rPr>
        <w:t>°</w:t>
      </w:r>
      <w:r w:rsidR="00EF706E">
        <w:rPr>
          <w:rFonts w:ascii="Bookman Old Style" w:eastAsia="Times New Roman" w:hAnsi="Bookman Old Style"/>
        </w:rPr>
        <w:t xml:space="preserve"> </w:t>
      </w:r>
      <w:proofErr w:type="spellStart"/>
      <w:r w:rsidR="00EF706E">
        <w:rPr>
          <w:rFonts w:ascii="Bookman Old Style" w:eastAsia="Times New Roman" w:hAnsi="Bookman Old Style"/>
        </w:rPr>
        <w:t>incs</w:t>
      </w:r>
      <w:proofErr w:type="spellEnd"/>
      <w:r w:rsidR="00EF706E">
        <w:rPr>
          <w:rFonts w:ascii="Bookman Old Style" w:eastAsia="Times New Roman" w:hAnsi="Bookman Old Style"/>
        </w:rPr>
        <w:t>. a), b) y c), normas y jurisprudencia.</w:t>
      </w:r>
    </w:p>
    <w:p w:rsidR="00B104FE" w:rsidRDefault="003E429B" w:rsidP="005C0028">
      <w:pPr>
        <w:spacing w:after="0" w:line="360" w:lineRule="auto"/>
        <w:ind w:firstLine="2127"/>
        <w:jc w:val="both"/>
        <w:rPr>
          <w:rFonts w:ascii="Bookman Old Style" w:eastAsia="Times New Roman" w:hAnsi="Bookman Old Style"/>
        </w:rPr>
      </w:pPr>
      <w:r>
        <w:rPr>
          <w:rFonts w:ascii="Bookman Old Style" w:eastAsia="Times New Roman" w:hAnsi="Bookman Old Style"/>
        </w:rPr>
        <w:t>En efecto, el Artículo 4° expresa que “</w:t>
      </w:r>
      <w:r w:rsidRPr="003E429B">
        <w:rPr>
          <w:rFonts w:ascii="Bookman Old Style" w:eastAsia="Times New Roman" w:hAnsi="Bookman Old Style"/>
        </w:rPr>
        <w:t xml:space="preserve">La acción debe instaurarse dentro del plazo de treinta (30) días de producido el agravio o de la fecha en la cual toma efectivo conocimiento el </w:t>
      </w:r>
      <w:proofErr w:type="spellStart"/>
      <w:r w:rsidRPr="003E429B">
        <w:rPr>
          <w:rFonts w:ascii="Bookman Old Style" w:eastAsia="Times New Roman" w:hAnsi="Bookman Old Style"/>
        </w:rPr>
        <w:t>amparista</w:t>
      </w:r>
      <w:proofErr w:type="spellEnd"/>
      <w:r w:rsidRPr="003E429B">
        <w:rPr>
          <w:rFonts w:ascii="Bookman Old Style" w:eastAsia="Times New Roman" w:hAnsi="Bookman Old Style"/>
        </w:rPr>
        <w:t xml:space="preserve"> del mismo, y puede interponerse ante cualquier Juez de primera instancia con jurisdicción en el lugar en que la lesión o restricción tuviere o debiere tener efecto, el que será plenamente competente para conocer de la acción. Cuando un mismo hecho, acto u omisión afectare el derecho de varias personas, entenderá en todas las acciones el Juez o Tribunal que hubiere prevenido</w:t>
      </w:r>
      <w:r>
        <w:rPr>
          <w:rFonts w:ascii="Bookman Old Style" w:eastAsia="Times New Roman" w:hAnsi="Bookman Old Style"/>
        </w:rPr>
        <w:t>.</w:t>
      </w:r>
      <w:r w:rsidRPr="003E429B">
        <w:rPr>
          <w:rFonts w:ascii="Bookman Old Style" w:eastAsia="Times New Roman" w:hAnsi="Bookman Old Style"/>
        </w:rPr>
        <w:t>”.</w:t>
      </w:r>
    </w:p>
    <w:p w:rsidR="003E429B" w:rsidRPr="00AA0715" w:rsidRDefault="003E429B" w:rsidP="003E429B">
      <w:pPr>
        <w:spacing w:after="0" w:line="360" w:lineRule="auto"/>
        <w:ind w:firstLine="2127"/>
        <w:jc w:val="both"/>
        <w:rPr>
          <w:rFonts w:ascii="Bookman Old Style" w:eastAsia="Times New Roman" w:hAnsi="Bookman Old Style"/>
          <w:highlight w:val="yellow"/>
        </w:rPr>
      </w:pPr>
      <w:bookmarkStart w:id="0" w:name="_GoBack"/>
      <w:bookmarkEnd w:id="0"/>
      <w:r w:rsidRPr="00AA0715">
        <w:rPr>
          <w:rFonts w:ascii="Bookman Old Style" w:eastAsia="Times New Roman" w:hAnsi="Bookman Old Style"/>
          <w:highlight w:val="yellow"/>
        </w:rPr>
        <w:t>Sin perjuicio de ello,</w:t>
      </w:r>
      <w:r w:rsidRPr="00AA0715">
        <w:rPr>
          <w:rFonts w:ascii="Bookman Old Style" w:eastAsia="Times New Roman" w:hAnsi="Bookman Old Style"/>
          <w:highlight w:val="yellow"/>
        </w:rPr>
        <w:t xml:space="preserve"> destacan MORELLO y VALLEFIN, “desde su origen, la</w:t>
      </w:r>
      <w:r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cuestión de la competencia material en el amparo suscitó una variada gama de posiciones</w:t>
      </w:r>
      <w:r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doctrinarias y jurisprudenciales. El problema -en una suerte de conflicto entre celeridad y</w:t>
      </w:r>
      <w:r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especialidad- consistió en determinar si el conocimiento de las demandas de amparo</w:t>
      </w:r>
      <w:r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correspondía a todos los jueces sin distinción de fueros o si era menester atender al que</w:t>
      </w:r>
      <w:r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fuera competente en la materia en donde el derecho constitucional que reclamaba su</w:t>
      </w:r>
      <w:r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protección se manifestaba”.</w:t>
      </w:r>
    </w:p>
    <w:p w:rsidR="003E429B" w:rsidRPr="00AA0715" w:rsidRDefault="003E429B" w:rsidP="003E429B">
      <w:pPr>
        <w:spacing w:after="0" w:line="360" w:lineRule="auto"/>
        <w:ind w:firstLine="2127"/>
        <w:jc w:val="both"/>
        <w:rPr>
          <w:rFonts w:ascii="Bookman Old Style" w:eastAsia="Times New Roman" w:hAnsi="Bookman Old Style"/>
          <w:highlight w:val="yellow"/>
        </w:rPr>
      </w:pPr>
      <w:r w:rsidRPr="00AA0715">
        <w:rPr>
          <w:rFonts w:ascii="Bookman Old Style" w:eastAsia="Times New Roman" w:hAnsi="Bookman Old Style"/>
          <w:highlight w:val="yellow"/>
        </w:rPr>
        <w:t>Dos son, entonces, las posibilidades en este sentido:</w:t>
      </w:r>
    </w:p>
    <w:p w:rsidR="003E429B" w:rsidRPr="00AA0715" w:rsidRDefault="003E429B" w:rsidP="003E429B">
      <w:pPr>
        <w:spacing w:after="0" w:line="360" w:lineRule="auto"/>
        <w:ind w:firstLine="2127"/>
        <w:jc w:val="both"/>
        <w:rPr>
          <w:rFonts w:ascii="Bookman Old Style" w:eastAsia="Times New Roman" w:hAnsi="Bookman Old Style"/>
          <w:highlight w:val="yellow"/>
        </w:rPr>
      </w:pPr>
      <w:r w:rsidRPr="00AA0715">
        <w:rPr>
          <w:rFonts w:ascii="Bookman Old Style" w:eastAsia="Times New Roman" w:hAnsi="Bookman Old Style"/>
          <w:highlight w:val="yellow"/>
        </w:rPr>
        <w:t>a</w:t>
      </w:r>
      <w:r w:rsidRPr="00AA0715">
        <w:rPr>
          <w:rFonts w:ascii="Bookman Old Style" w:eastAsia="Times New Roman" w:hAnsi="Bookman Old Style"/>
          <w:highlight w:val="yellow"/>
        </w:rPr>
        <w:t>) Una de ellas es la de otorgar competencia a todos los jueces, sin</w:t>
      </w:r>
      <w:r w:rsidRPr="00AA0715">
        <w:rPr>
          <w:rFonts w:ascii="Bookman Old Style" w:eastAsia="Times New Roman" w:hAnsi="Bookman Old Style"/>
          <w:highlight w:val="yellow"/>
        </w:rPr>
        <w:t xml:space="preserve"> </w:t>
      </w:r>
      <w:r w:rsidR="004741FD" w:rsidRPr="00AA0715">
        <w:rPr>
          <w:rFonts w:ascii="Bookman Old Style" w:eastAsia="Times New Roman" w:hAnsi="Bookman Old Style"/>
          <w:highlight w:val="yellow"/>
        </w:rPr>
        <w:t xml:space="preserve">distinción de materias. </w:t>
      </w:r>
      <w:r w:rsidRPr="00AA0715">
        <w:rPr>
          <w:rFonts w:ascii="Bookman Old Style" w:eastAsia="Times New Roman" w:hAnsi="Bookman Old Style"/>
          <w:highlight w:val="yellow"/>
        </w:rPr>
        <w:t>Para justificar esta solución, se fundamenta que:</w:t>
      </w:r>
    </w:p>
    <w:p w:rsidR="003E429B" w:rsidRPr="00AA0715" w:rsidRDefault="003E429B" w:rsidP="003E429B">
      <w:pPr>
        <w:spacing w:after="0" w:line="360" w:lineRule="auto"/>
        <w:ind w:firstLine="2127"/>
        <w:jc w:val="both"/>
        <w:rPr>
          <w:rFonts w:ascii="Bookman Old Style" w:eastAsia="Times New Roman" w:hAnsi="Bookman Old Style"/>
          <w:highlight w:val="yellow"/>
        </w:rPr>
      </w:pPr>
      <w:r w:rsidRPr="00AA0715">
        <w:rPr>
          <w:rFonts w:ascii="Bookman Old Style" w:eastAsia="Times New Roman" w:hAnsi="Bookman Old Style"/>
          <w:highlight w:val="yellow"/>
        </w:rPr>
        <w:t>a.1. Es un criterio eminentemente práctico y atiende</w:t>
      </w:r>
      <w:r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especialmente a la natur</w:t>
      </w:r>
      <w:r w:rsidR="004741FD" w:rsidRPr="00AA0715">
        <w:rPr>
          <w:rFonts w:ascii="Bookman Old Style" w:eastAsia="Times New Roman" w:hAnsi="Bookman Old Style"/>
          <w:highlight w:val="yellow"/>
        </w:rPr>
        <w:t>aleza de los derechos afectados</w:t>
      </w:r>
      <w:r w:rsidR="004741FD" w:rsidRPr="00AA0715">
        <w:rPr>
          <w:rStyle w:val="Refdenotaalpie"/>
          <w:rFonts w:ascii="Bookman Old Style" w:eastAsia="Times New Roman" w:hAnsi="Bookman Old Style"/>
          <w:highlight w:val="yellow"/>
        </w:rPr>
        <w:footnoteReference w:id="1"/>
      </w:r>
      <w:r w:rsidRPr="00AA0715">
        <w:rPr>
          <w:rFonts w:ascii="Bookman Old Style" w:eastAsia="Times New Roman" w:hAnsi="Bookman Old Style"/>
          <w:highlight w:val="yellow"/>
        </w:rPr>
        <w:t>, motivo por el cual ello no puede</w:t>
      </w:r>
      <w:r w:rsidR="004741FD"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ser sólo de competencia de algunos jueces, sino un deber inexcusable de todos ellos cuando</w:t>
      </w:r>
      <w:r w:rsidR="004741FD"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los interesados les requieran, con fundamento, el auxilio de la autoridad.</w:t>
      </w:r>
    </w:p>
    <w:p w:rsidR="003E429B" w:rsidRPr="00AA0715" w:rsidRDefault="003E429B" w:rsidP="003E429B">
      <w:pPr>
        <w:spacing w:after="0" w:line="360" w:lineRule="auto"/>
        <w:ind w:firstLine="2127"/>
        <w:jc w:val="both"/>
        <w:rPr>
          <w:rFonts w:ascii="Bookman Old Style" w:eastAsia="Times New Roman" w:hAnsi="Bookman Old Style"/>
          <w:highlight w:val="yellow"/>
        </w:rPr>
      </w:pPr>
      <w:r w:rsidRPr="00AA0715">
        <w:rPr>
          <w:rFonts w:ascii="Bookman Old Style" w:eastAsia="Times New Roman" w:hAnsi="Bookman Old Style"/>
          <w:highlight w:val="yellow"/>
        </w:rPr>
        <w:t>a.2. Tal circunstancia evita los conflictos de competencia (que</w:t>
      </w:r>
      <w:r w:rsidR="004741FD"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traen dilaciones innecesarias que pueden afectar la rápida protección de los derechos que el</w:t>
      </w:r>
      <w:r w:rsidR="004741FD"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amparo intenta brindar) y busca arribar a la pronta terminación de los procesos como lo</w:t>
      </w:r>
      <w:r w:rsidR="004741FD"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requiere una adecuada administración de justicia.</w:t>
      </w:r>
    </w:p>
    <w:p w:rsidR="003E429B" w:rsidRDefault="003E429B" w:rsidP="003E429B">
      <w:pPr>
        <w:spacing w:after="0" w:line="360" w:lineRule="auto"/>
        <w:ind w:firstLine="2127"/>
        <w:jc w:val="both"/>
        <w:rPr>
          <w:rFonts w:ascii="Bookman Old Style" w:eastAsia="Times New Roman" w:hAnsi="Bookman Old Style"/>
        </w:rPr>
      </w:pPr>
      <w:r w:rsidRPr="00AA0715">
        <w:rPr>
          <w:rFonts w:ascii="Bookman Old Style" w:eastAsia="Times New Roman" w:hAnsi="Bookman Old Style"/>
          <w:highlight w:val="yellow"/>
        </w:rPr>
        <w:t>Si</w:t>
      </w:r>
      <w:r w:rsidR="004741FD" w:rsidRPr="00AA0715">
        <w:rPr>
          <w:rFonts w:ascii="Bookman Old Style" w:eastAsia="Times New Roman" w:hAnsi="Bookman Old Style"/>
          <w:highlight w:val="yellow"/>
        </w:rPr>
        <w:t>n embargo, esta medida presenta inconvenientes importantes, dado</w:t>
      </w:r>
      <w:r w:rsidRPr="00AA0715">
        <w:rPr>
          <w:rFonts w:ascii="Bookman Old Style" w:eastAsia="Times New Roman" w:hAnsi="Bookman Old Style"/>
          <w:highlight w:val="yellow"/>
        </w:rPr>
        <w:t xml:space="preserve"> que permite “elegir” el juez</w:t>
      </w:r>
      <w:r w:rsidR="004741FD" w:rsidRPr="00AA0715">
        <w:rPr>
          <w:rStyle w:val="Refdenotaalpie"/>
          <w:rFonts w:ascii="Bookman Old Style" w:eastAsia="Times New Roman" w:hAnsi="Bookman Old Style"/>
          <w:highlight w:val="yellow"/>
        </w:rPr>
        <w:footnoteReference w:id="2"/>
      </w:r>
      <w:r w:rsidR="004741FD"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w:t>
      </w:r>
      <w:proofErr w:type="spellStart"/>
      <w:r w:rsidRPr="00AA0715">
        <w:rPr>
          <w:rFonts w:ascii="Bookman Old Style" w:eastAsia="Times New Roman" w:hAnsi="Bookman Old Style"/>
          <w:highlight w:val="yellow"/>
        </w:rPr>
        <w:t>forum</w:t>
      </w:r>
      <w:proofErr w:type="spellEnd"/>
      <w:r w:rsidRPr="00AA0715">
        <w:rPr>
          <w:rFonts w:ascii="Bookman Old Style" w:eastAsia="Times New Roman" w:hAnsi="Bookman Old Style"/>
          <w:highlight w:val="yellow"/>
        </w:rPr>
        <w:t xml:space="preserve"> shopping), ya que los actores buscarán</w:t>
      </w:r>
      <w:r w:rsidR="004741FD"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al “juez más favorable” e interpondrán la demanda ante los magistrados que tengan</w:t>
      </w:r>
      <w:r w:rsidR="004741FD"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precedentes acordes a sus pretensiones o que por otras circunstancias sean más propensos a</w:t>
      </w:r>
      <w:r w:rsidR="004741FD" w:rsidRPr="00AA0715">
        <w:rPr>
          <w:rFonts w:ascii="Bookman Old Style" w:eastAsia="Times New Roman" w:hAnsi="Bookman Old Style"/>
          <w:highlight w:val="yellow"/>
        </w:rPr>
        <w:t xml:space="preserve"> </w:t>
      </w:r>
      <w:r w:rsidRPr="00AA0715">
        <w:rPr>
          <w:rFonts w:ascii="Bookman Old Style" w:eastAsia="Times New Roman" w:hAnsi="Bookman Old Style"/>
          <w:highlight w:val="yellow"/>
        </w:rPr>
        <w:t>acoger ese tipo de reclamos, lo que as</w:t>
      </w:r>
      <w:r w:rsidR="004741FD" w:rsidRPr="00AA0715">
        <w:rPr>
          <w:rFonts w:ascii="Bookman Old Style" w:eastAsia="Times New Roman" w:hAnsi="Bookman Old Style"/>
          <w:highlight w:val="yellow"/>
        </w:rPr>
        <w:t>egura una sentencia conveniente</w:t>
      </w:r>
      <w:r w:rsidR="004741FD" w:rsidRPr="00AA0715">
        <w:rPr>
          <w:rStyle w:val="Refdenotaalpie"/>
          <w:rFonts w:ascii="Bookman Old Style" w:eastAsia="Times New Roman" w:hAnsi="Bookman Old Style"/>
          <w:highlight w:val="yellow"/>
        </w:rPr>
        <w:footnoteReference w:id="3"/>
      </w:r>
      <w:r w:rsidR="004741FD" w:rsidRPr="00AA0715">
        <w:rPr>
          <w:rFonts w:ascii="Bookman Old Style" w:eastAsia="Times New Roman" w:hAnsi="Bookman Old Style"/>
          <w:highlight w:val="yellow"/>
        </w:rPr>
        <w:t>.</w:t>
      </w:r>
      <w:r w:rsidRPr="003E429B">
        <w:rPr>
          <w:rFonts w:ascii="Bookman Old Style" w:eastAsia="Times New Roman" w:hAnsi="Bookman Old Style"/>
        </w:rPr>
        <w:t xml:space="preserve"> </w:t>
      </w:r>
    </w:p>
    <w:p w:rsidR="003E429B" w:rsidRPr="00B104FE" w:rsidRDefault="003E429B" w:rsidP="005C0028">
      <w:pPr>
        <w:spacing w:after="0" w:line="360" w:lineRule="auto"/>
        <w:ind w:firstLine="2127"/>
        <w:jc w:val="both"/>
        <w:rPr>
          <w:rFonts w:ascii="Bookman Old Style" w:eastAsia="Times New Roman" w:hAnsi="Bookman Old Style"/>
        </w:rPr>
      </w:pPr>
    </w:p>
    <w:p w:rsidR="005C0028" w:rsidRPr="008036C8" w:rsidRDefault="005D1238" w:rsidP="005C0028">
      <w:pPr>
        <w:spacing w:after="0" w:line="360" w:lineRule="auto"/>
        <w:ind w:firstLine="2127"/>
        <w:jc w:val="both"/>
        <w:rPr>
          <w:rFonts w:ascii="Bookman Old Style" w:eastAsia="Times New Roman" w:hAnsi="Bookman Old Style"/>
          <w:b/>
          <w:u w:val="single"/>
        </w:rPr>
      </w:pPr>
      <w:r>
        <w:rPr>
          <w:rFonts w:ascii="Bookman Old Style" w:eastAsia="Times New Roman" w:hAnsi="Bookman Old Style"/>
          <w:b/>
          <w:u w:val="single"/>
        </w:rPr>
        <w:t xml:space="preserve">V. </w:t>
      </w:r>
      <w:r w:rsidR="005C0028" w:rsidRPr="008036C8">
        <w:rPr>
          <w:rFonts w:ascii="Bookman Old Style" w:eastAsia="Times New Roman" w:hAnsi="Bookman Old Style"/>
          <w:b/>
          <w:u w:val="single"/>
        </w:rPr>
        <w:t>SOLICITA MEDIDA CAUTELAR.</w:t>
      </w:r>
    </w:p>
    <w:p w:rsidR="005C0028" w:rsidRDefault="005C0028" w:rsidP="005C0028">
      <w:pPr>
        <w:spacing w:after="0" w:line="360" w:lineRule="auto"/>
        <w:ind w:firstLine="2127"/>
        <w:jc w:val="both"/>
        <w:rPr>
          <w:rFonts w:ascii="Bookman Old Style" w:eastAsia="Times New Roman" w:hAnsi="Bookman Old Style"/>
        </w:rPr>
      </w:pPr>
      <w:r>
        <w:rPr>
          <w:rFonts w:ascii="Bookman Old Style" w:hAnsi="Bookman Old Style"/>
        </w:rPr>
        <w:t xml:space="preserve">Se solicita se decrete la medida cautelar en los términos del Artículo 7° de la Ley V N° 84, 197 y ss. Del </w:t>
      </w:r>
      <w:proofErr w:type="spellStart"/>
      <w:r>
        <w:rPr>
          <w:rFonts w:ascii="Bookman Old Style" w:hAnsi="Bookman Old Style"/>
        </w:rPr>
        <w:t>CPCCCh</w:t>
      </w:r>
      <w:proofErr w:type="spellEnd"/>
      <w:r>
        <w:rPr>
          <w:rFonts w:ascii="Bookman Old Style" w:hAnsi="Bookman Old Style"/>
        </w:rPr>
        <w:t xml:space="preserve">, a fin de que por las razones </w:t>
      </w:r>
      <w:r w:rsidR="00E27835">
        <w:rPr>
          <w:rFonts w:ascii="Bookman Old Style" w:hAnsi="Bookman Old Style"/>
        </w:rPr>
        <w:t xml:space="preserve">expuestas y por las </w:t>
      </w:r>
      <w:r>
        <w:rPr>
          <w:rFonts w:ascii="Bookman Old Style" w:hAnsi="Bookman Old Style"/>
        </w:rPr>
        <w:t>que en adelante se dan, más las que proveerá su elevado criterio, se disponga la suspensión</w:t>
      </w:r>
      <w:r w:rsidR="00E27835">
        <w:rPr>
          <w:rFonts w:ascii="Bookman Old Style" w:hAnsi="Bookman Old Style"/>
        </w:rPr>
        <w:t xml:space="preserve"> y/o cese</w:t>
      </w:r>
      <w:r>
        <w:rPr>
          <w:rFonts w:ascii="Bookman Old Style" w:hAnsi="Bookman Old Style"/>
        </w:rPr>
        <w:t xml:space="preserve"> de las actividades que despliega la firma ARCANTE S.A. en el predio </w:t>
      </w:r>
      <w:r w:rsidRPr="00FF65F3">
        <w:rPr>
          <w:rFonts w:ascii="Bookman Old Style" w:eastAsia="Times New Roman" w:hAnsi="Bookman Old Style"/>
        </w:rPr>
        <w:t>ubicado a 15 kilómetros de Trelew y con acceso desde Ruta 1.</w:t>
      </w:r>
    </w:p>
    <w:p w:rsidR="005C0028" w:rsidRDefault="005C0028" w:rsidP="005C0028">
      <w:pPr>
        <w:spacing w:after="0" w:line="360" w:lineRule="auto"/>
        <w:ind w:firstLine="2127"/>
        <w:jc w:val="both"/>
        <w:rPr>
          <w:rFonts w:ascii="Bookman Old Style" w:hAnsi="Bookman Old Style"/>
          <w:bCs/>
          <w:lang w:val="es-AR"/>
        </w:rPr>
      </w:pPr>
      <w:r>
        <w:rPr>
          <w:rFonts w:ascii="Bookman Old Style" w:hAnsi="Bookman Old Style"/>
          <w:bCs/>
          <w:lang w:val="es-AR"/>
        </w:rPr>
        <w:t>1. Verosimilitud en el Derecho.</w:t>
      </w:r>
    </w:p>
    <w:p w:rsidR="005C0028" w:rsidRDefault="005C0028" w:rsidP="005C0028">
      <w:pPr>
        <w:spacing w:after="0" w:line="360" w:lineRule="auto"/>
        <w:ind w:firstLine="2127"/>
        <w:jc w:val="both"/>
        <w:rPr>
          <w:rFonts w:ascii="Bookman Old Style" w:hAnsi="Bookman Old Style"/>
          <w:bCs/>
          <w:lang w:val="es-AR"/>
        </w:rPr>
      </w:pPr>
      <w:r>
        <w:rPr>
          <w:rFonts w:ascii="Bookman Old Style" w:hAnsi="Bookman Old Style"/>
          <w:bCs/>
          <w:lang w:val="es-AR"/>
        </w:rPr>
        <w:t xml:space="preserve">La verosimilitud en el Derecho se encuentra plenamente acreditada por la falta de la Declaración de Impacto Ambiental (DIA) en un procedimiento de técnico- administrativo de evaluación de Impacto Ambiental, de conformidad </w:t>
      </w:r>
      <w:r w:rsidR="00FD6A39">
        <w:rPr>
          <w:rFonts w:ascii="Bookman Old Style" w:hAnsi="Bookman Old Style"/>
          <w:bCs/>
          <w:lang w:val="es-AR"/>
        </w:rPr>
        <w:t xml:space="preserve">a toda la normativa concordante citada y, particularmente, </w:t>
      </w:r>
      <w:r>
        <w:rPr>
          <w:rFonts w:ascii="Bookman Old Style" w:hAnsi="Bookman Old Style"/>
          <w:bCs/>
          <w:lang w:val="es-AR"/>
        </w:rPr>
        <w:t>a los Artículos 41° de la Constitución Nacional; los Artículos 11°, 20°</w:t>
      </w:r>
      <w:r w:rsidRPr="005F7BB4">
        <w:rPr>
          <w:rFonts w:ascii="Bookman Old Style" w:hAnsi="Bookman Old Style"/>
          <w:bCs/>
          <w:lang w:val="es-AR"/>
        </w:rPr>
        <w:t xml:space="preserve"> </w:t>
      </w:r>
      <w:r>
        <w:rPr>
          <w:rFonts w:ascii="Bookman Old Style" w:hAnsi="Bookman Old Style"/>
          <w:bCs/>
          <w:lang w:val="es-AR"/>
        </w:rPr>
        <w:t xml:space="preserve">y </w:t>
      </w:r>
      <w:proofErr w:type="spellStart"/>
      <w:r>
        <w:rPr>
          <w:rFonts w:ascii="Bookman Old Style" w:hAnsi="Bookman Old Style"/>
          <w:bCs/>
          <w:lang w:val="es-AR"/>
        </w:rPr>
        <w:t>ccts</w:t>
      </w:r>
      <w:proofErr w:type="spellEnd"/>
      <w:r>
        <w:rPr>
          <w:rFonts w:ascii="Bookman Old Style" w:hAnsi="Bookman Old Style"/>
          <w:bCs/>
          <w:lang w:val="es-AR"/>
        </w:rPr>
        <w:t>. de la Ley N° 25.675; los Artículos 4°, 8°, 10°, 32°</w:t>
      </w:r>
      <w:r w:rsidRPr="005F7BB4">
        <w:rPr>
          <w:rFonts w:ascii="Bookman Old Style" w:hAnsi="Bookman Old Style"/>
          <w:bCs/>
          <w:lang w:val="es-AR"/>
        </w:rPr>
        <w:t xml:space="preserve"> </w:t>
      </w:r>
      <w:r>
        <w:rPr>
          <w:rFonts w:ascii="Bookman Old Style" w:hAnsi="Bookman Old Style"/>
          <w:bCs/>
          <w:lang w:val="es-AR"/>
        </w:rPr>
        <w:t xml:space="preserve">y </w:t>
      </w:r>
      <w:proofErr w:type="spellStart"/>
      <w:r>
        <w:rPr>
          <w:rFonts w:ascii="Bookman Old Style" w:hAnsi="Bookman Old Style"/>
          <w:bCs/>
          <w:lang w:val="es-AR"/>
        </w:rPr>
        <w:t>ccts</w:t>
      </w:r>
      <w:proofErr w:type="spellEnd"/>
      <w:r>
        <w:rPr>
          <w:rFonts w:ascii="Bookman Old Style" w:hAnsi="Bookman Old Style"/>
          <w:bCs/>
          <w:lang w:val="es-AR"/>
        </w:rPr>
        <w:t xml:space="preserve">. de la Ley N° 25.612 y los Artículos 30°, 31°, 35°, 143° y </w:t>
      </w:r>
      <w:proofErr w:type="spellStart"/>
      <w:r>
        <w:rPr>
          <w:rFonts w:ascii="Bookman Old Style" w:hAnsi="Bookman Old Style"/>
          <w:bCs/>
          <w:lang w:val="es-AR"/>
        </w:rPr>
        <w:t>ccts</w:t>
      </w:r>
      <w:proofErr w:type="spellEnd"/>
      <w:r>
        <w:rPr>
          <w:rFonts w:ascii="Bookman Old Style" w:hAnsi="Bookman Old Style"/>
          <w:bCs/>
          <w:lang w:val="es-AR"/>
        </w:rPr>
        <w:t>. de la Ley XI N° 35.</w:t>
      </w:r>
    </w:p>
    <w:p w:rsidR="005C0028" w:rsidRDefault="005C0028" w:rsidP="005C0028">
      <w:pPr>
        <w:spacing w:after="0" w:line="360" w:lineRule="auto"/>
        <w:ind w:firstLine="2127"/>
        <w:jc w:val="both"/>
        <w:rPr>
          <w:rFonts w:ascii="Bookman Old Style" w:hAnsi="Bookman Old Style"/>
          <w:bCs/>
          <w:lang w:val="es-AR"/>
        </w:rPr>
      </w:pPr>
      <w:r>
        <w:rPr>
          <w:rFonts w:ascii="Bookman Old Style" w:hAnsi="Bookman Old Style"/>
          <w:bCs/>
          <w:lang w:val="es-AR"/>
        </w:rPr>
        <w:t>2. Peligro en la Demora.</w:t>
      </w:r>
    </w:p>
    <w:p w:rsidR="005C0028" w:rsidRDefault="005C0028" w:rsidP="005C0028">
      <w:pPr>
        <w:spacing w:after="0" w:line="360" w:lineRule="auto"/>
        <w:ind w:firstLine="2127"/>
        <w:jc w:val="both"/>
        <w:rPr>
          <w:rFonts w:ascii="Bookman Old Style" w:hAnsi="Bookman Old Style"/>
          <w:bCs/>
          <w:lang w:val="es-AR"/>
        </w:rPr>
      </w:pPr>
      <w:r>
        <w:rPr>
          <w:rFonts w:ascii="Bookman Old Style" w:hAnsi="Bookman Old Style"/>
          <w:bCs/>
          <w:lang w:val="es-AR"/>
        </w:rPr>
        <w:t>El peligro en la demora, se sustenta en que</w:t>
      </w:r>
      <w:r w:rsidRPr="005F7BB4">
        <w:rPr>
          <w:rFonts w:ascii="Bookman Old Style" w:hAnsi="Bookman Old Style"/>
          <w:bCs/>
          <w:lang w:val="es-AR"/>
        </w:rPr>
        <w:t xml:space="preserve"> estamos ante una actividad que está en </w:t>
      </w:r>
      <w:r>
        <w:rPr>
          <w:rFonts w:ascii="Bookman Old Style" w:hAnsi="Bookman Old Style"/>
          <w:bCs/>
          <w:lang w:val="es-AR"/>
        </w:rPr>
        <w:t>plena ejecución</w:t>
      </w:r>
      <w:r w:rsidRPr="005F7BB4">
        <w:rPr>
          <w:rFonts w:ascii="Bookman Old Style" w:hAnsi="Bookman Old Style"/>
          <w:bCs/>
          <w:lang w:val="es-AR"/>
        </w:rPr>
        <w:t xml:space="preserve"> sin haber previamente obtenido la </w:t>
      </w:r>
      <w:r>
        <w:rPr>
          <w:rFonts w:ascii="Bookman Old Style" w:hAnsi="Bookman Old Style"/>
          <w:bCs/>
          <w:lang w:val="es-AR"/>
        </w:rPr>
        <w:t>Declaración de Impacto Ambiental (</w:t>
      </w:r>
      <w:r w:rsidRPr="005F7BB4">
        <w:rPr>
          <w:rFonts w:ascii="Bookman Old Style" w:hAnsi="Bookman Old Style"/>
          <w:bCs/>
          <w:lang w:val="es-AR"/>
        </w:rPr>
        <w:t>DIA</w:t>
      </w:r>
      <w:r>
        <w:rPr>
          <w:rFonts w:ascii="Bookman Old Style" w:hAnsi="Bookman Old Style"/>
          <w:bCs/>
          <w:lang w:val="es-AR"/>
        </w:rPr>
        <w:t>)</w:t>
      </w:r>
      <w:r w:rsidRPr="005F7BB4">
        <w:rPr>
          <w:rFonts w:ascii="Bookman Old Style" w:hAnsi="Bookman Old Style"/>
          <w:bCs/>
          <w:lang w:val="es-AR"/>
        </w:rPr>
        <w:t xml:space="preserve">, </w:t>
      </w:r>
      <w:r w:rsidR="00E27835">
        <w:rPr>
          <w:rFonts w:ascii="Bookman Old Style" w:hAnsi="Bookman Old Style"/>
          <w:bCs/>
          <w:lang w:val="es-AR"/>
        </w:rPr>
        <w:t xml:space="preserve">nos encontramos </w:t>
      </w:r>
      <w:r w:rsidRPr="005F7BB4">
        <w:rPr>
          <w:rFonts w:ascii="Bookman Old Style" w:hAnsi="Bookman Old Style"/>
          <w:bCs/>
          <w:lang w:val="es-AR"/>
        </w:rPr>
        <w:t>ante la inminente violación del vector</w:t>
      </w:r>
      <w:r>
        <w:rPr>
          <w:rFonts w:ascii="Bookman Old Style" w:hAnsi="Bookman Old Style"/>
          <w:bCs/>
          <w:lang w:val="es-AR"/>
        </w:rPr>
        <w:t xml:space="preserve"> </w:t>
      </w:r>
      <w:r w:rsidRPr="005F7BB4">
        <w:rPr>
          <w:rFonts w:ascii="Bookman Old Style" w:hAnsi="Bookman Old Style"/>
          <w:bCs/>
          <w:lang w:val="es-AR"/>
        </w:rPr>
        <w:t xml:space="preserve">prevención ambiental y el posible peligro de que se produzca un daño ambiental irreversible. </w:t>
      </w:r>
      <w:r>
        <w:rPr>
          <w:rFonts w:ascii="Bookman Old Style" w:hAnsi="Bookman Old Style"/>
          <w:bCs/>
          <w:lang w:val="es-AR"/>
        </w:rPr>
        <w:t>Entiendo, que</w:t>
      </w:r>
      <w:r w:rsidRPr="005F7BB4">
        <w:rPr>
          <w:rFonts w:ascii="Bookman Old Style" w:hAnsi="Bookman Old Style"/>
          <w:bCs/>
          <w:lang w:val="es-AR"/>
        </w:rPr>
        <w:t xml:space="preserve"> la acreditación del inicio de</w:t>
      </w:r>
      <w:r>
        <w:rPr>
          <w:rFonts w:ascii="Bookman Old Style" w:hAnsi="Bookman Old Style"/>
          <w:bCs/>
          <w:lang w:val="es-AR"/>
        </w:rPr>
        <w:t xml:space="preserve"> </w:t>
      </w:r>
      <w:r w:rsidRPr="005F7BB4">
        <w:rPr>
          <w:rFonts w:ascii="Bookman Old Style" w:hAnsi="Bookman Old Style"/>
          <w:bCs/>
          <w:lang w:val="es-AR"/>
        </w:rPr>
        <w:t xml:space="preserve">la actividad sin </w:t>
      </w:r>
      <w:r>
        <w:rPr>
          <w:rFonts w:ascii="Bookman Old Style" w:hAnsi="Bookman Old Style"/>
          <w:bCs/>
          <w:lang w:val="es-AR"/>
        </w:rPr>
        <w:t>D</w:t>
      </w:r>
      <w:r w:rsidRPr="005F7BB4">
        <w:rPr>
          <w:rFonts w:ascii="Bookman Old Style" w:hAnsi="Bookman Old Style"/>
          <w:bCs/>
          <w:lang w:val="es-AR"/>
        </w:rPr>
        <w:t>IA será suficiente para entender que existe peligro en la demora</w:t>
      </w:r>
      <w:r w:rsidR="00FD6A39">
        <w:rPr>
          <w:rFonts w:ascii="Bookman Old Style" w:hAnsi="Bookman Old Style"/>
          <w:bCs/>
          <w:lang w:val="es-AR"/>
        </w:rPr>
        <w:t>, razón por la cual deviene necesario</w:t>
      </w:r>
      <w:r w:rsidRPr="005F7BB4">
        <w:rPr>
          <w:rFonts w:ascii="Bookman Old Style" w:hAnsi="Bookman Old Style"/>
          <w:bCs/>
          <w:lang w:val="es-AR"/>
        </w:rPr>
        <w:t xml:space="preserve"> relevar de la</w:t>
      </w:r>
      <w:r>
        <w:rPr>
          <w:rFonts w:ascii="Bookman Old Style" w:hAnsi="Bookman Old Style"/>
          <w:bCs/>
          <w:lang w:val="es-AR"/>
        </w:rPr>
        <w:t xml:space="preserve"> </w:t>
      </w:r>
      <w:r w:rsidRPr="005F7BB4">
        <w:rPr>
          <w:rFonts w:ascii="Bookman Old Style" w:hAnsi="Bookman Old Style"/>
          <w:bCs/>
          <w:lang w:val="es-AR"/>
        </w:rPr>
        <w:t>prueba de éste requisito a la usanza tradicional.</w:t>
      </w:r>
    </w:p>
    <w:p w:rsidR="005C0028" w:rsidRDefault="005C0028" w:rsidP="005C0028">
      <w:pPr>
        <w:spacing w:after="0" w:line="360" w:lineRule="auto"/>
        <w:ind w:firstLine="2127"/>
        <w:jc w:val="both"/>
        <w:rPr>
          <w:rFonts w:ascii="Bookman Old Style" w:hAnsi="Bookman Old Style"/>
          <w:bCs/>
          <w:lang w:val="es-AR"/>
        </w:rPr>
      </w:pPr>
      <w:r>
        <w:rPr>
          <w:rFonts w:ascii="Bookman Old Style" w:hAnsi="Bookman Old Style"/>
          <w:bCs/>
          <w:lang w:val="es-AR"/>
        </w:rPr>
        <w:t xml:space="preserve">3. </w:t>
      </w:r>
      <w:proofErr w:type="spellStart"/>
      <w:r>
        <w:rPr>
          <w:rFonts w:ascii="Bookman Old Style" w:hAnsi="Bookman Old Style"/>
          <w:bCs/>
          <w:lang w:val="es-AR"/>
        </w:rPr>
        <w:t>Contracautela</w:t>
      </w:r>
      <w:proofErr w:type="spellEnd"/>
      <w:r>
        <w:rPr>
          <w:rFonts w:ascii="Bookman Old Style" w:hAnsi="Bookman Old Style"/>
          <w:bCs/>
          <w:lang w:val="es-AR"/>
        </w:rPr>
        <w:t>.</w:t>
      </w:r>
    </w:p>
    <w:p w:rsidR="005C0028" w:rsidRDefault="005C0028" w:rsidP="005C0028">
      <w:pPr>
        <w:spacing w:after="0" w:line="360" w:lineRule="auto"/>
        <w:ind w:firstLine="2127"/>
        <w:jc w:val="both"/>
        <w:rPr>
          <w:rFonts w:ascii="Bookman Old Style" w:hAnsi="Bookman Old Style"/>
          <w:bCs/>
          <w:lang w:val="es-AR"/>
        </w:rPr>
      </w:pPr>
      <w:r w:rsidRPr="005F7BB4">
        <w:rPr>
          <w:rFonts w:ascii="Bookman Old Style" w:hAnsi="Bookman Old Style"/>
          <w:bCs/>
          <w:lang w:val="es-AR"/>
        </w:rPr>
        <w:t xml:space="preserve">Es importante </w:t>
      </w:r>
      <w:r>
        <w:rPr>
          <w:rFonts w:ascii="Bookman Old Style" w:hAnsi="Bookman Old Style"/>
          <w:bCs/>
          <w:lang w:val="es-AR"/>
        </w:rPr>
        <w:t>destacar</w:t>
      </w:r>
      <w:r w:rsidR="008342BD">
        <w:rPr>
          <w:rFonts w:ascii="Bookman Old Style" w:hAnsi="Bookman Old Style"/>
          <w:bCs/>
          <w:lang w:val="es-AR"/>
        </w:rPr>
        <w:t xml:space="preserve"> que</w:t>
      </w:r>
      <w:r w:rsidRPr="005F7BB4">
        <w:rPr>
          <w:rFonts w:ascii="Bookman Old Style" w:hAnsi="Bookman Old Style"/>
          <w:bCs/>
          <w:lang w:val="es-AR"/>
        </w:rPr>
        <w:t xml:space="preserve"> en éstos supuestos</w:t>
      </w:r>
      <w:r>
        <w:rPr>
          <w:rFonts w:ascii="Bookman Old Style" w:hAnsi="Bookman Old Style"/>
          <w:bCs/>
          <w:lang w:val="es-AR"/>
        </w:rPr>
        <w:t xml:space="preserve"> </w:t>
      </w:r>
      <w:r w:rsidRPr="005F7BB4">
        <w:rPr>
          <w:rFonts w:ascii="Bookman Old Style" w:hAnsi="Bookman Old Style"/>
          <w:bCs/>
          <w:lang w:val="es-AR"/>
        </w:rPr>
        <w:t>estamos ante medidas que se otorgarán en tutela de derechos de incidencia colectiva. Esta</w:t>
      </w:r>
      <w:r>
        <w:rPr>
          <w:rFonts w:ascii="Bookman Old Style" w:hAnsi="Bookman Old Style"/>
          <w:bCs/>
          <w:lang w:val="es-AR"/>
        </w:rPr>
        <w:t xml:space="preserve"> </w:t>
      </w:r>
      <w:r w:rsidRPr="005F7BB4">
        <w:rPr>
          <w:rFonts w:ascii="Bookman Old Style" w:hAnsi="Bookman Old Style"/>
          <w:bCs/>
          <w:lang w:val="es-AR"/>
        </w:rPr>
        <w:t xml:space="preserve">cuestión no es baladí, pues </w:t>
      </w:r>
      <w:r>
        <w:rPr>
          <w:rFonts w:ascii="Bookman Old Style" w:hAnsi="Bookman Old Style"/>
          <w:bCs/>
          <w:lang w:val="es-AR"/>
        </w:rPr>
        <w:t>resulta</w:t>
      </w:r>
      <w:r w:rsidRPr="005F7BB4">
        <w:rPr>
          <w:rFonts w:ascii="Bookman Old Style" w:hAnsi="Bookman Old Style"/>
          <w:bCs/>
          <w:lang w:val="es-AR"/>
        </w:rPr>
        <w:t xml:space="preserve"> importante comprender que en los casos en que éstos intereses</w:t>
      </w:r>
      <w:r>
        <w:rPr>
          <w:rFonts w:ascii="Bookman Old Style" w:hAnsi="Bookman Old Style"/>
          <w:bCs/>
          <w:lang w:val="es-AR"/>
        </w:rPr>
        <w:t xml:space="preserve"> </w:t>
      </w:r>
      <w:r w:rsidRPr="005F7BB4">
        <w:rPr>
          <w:rFonts w:ascii="Bookman Old Style" w:hAnsi="Bookman Old Style"/>
          <w:bCs/>
          <w:lang w:val="es-AR"/>
        </w:rPr>
        <w:t xml:space="preserve">están en juego, la consideración de los clásicos presupuestos como la </w:t>
      </w:r>
      <w:proofErr w:type="spellStart"/>
      <w:r w:rsidRPr="005F7BB4">
        <w:rPr>
          <w:rFonts w:ascii="Bookman Old Style" w:hAnsi="Bookman Old Style"/>
          <w:bCs/>
          <w:lang w:val="es-AR"/>
        </w:rPr>
        <w:t>contracautela</w:t>
      </w:r>
      <w:proofErr w:type="spellEnd"/>
      <w:r w:rsidRPr="005F7BB4">
        <w:rPr>
          <w:rFonts w:ascii="Bookman Old Style" w:hAnsi="Bookman Old Style"/>
          <w:bCs/>
          <w:lang w:val="es-AR"/>
        </w:rPr>
        <w:t xml:space="preserve"> (que aparece</w:t>
      </w:r>
      <w:r>
        <w:rPr>
          <w:rFonts w:ascii="Bookman Old Style" w:hAnsi="Bookman Old Style"/>
          <w:bCs/>
          <w:lang w:val="es-AR"/>
        </w:rPr>
        <w:t xml:space="preserve"> </w:t>
      </w:r>
      <w:r w:rsidRPr="005F7BB4">
        <w:rPr>
          <w:rFonts w:ascii="Bookman Old Style" w:hAnsi="Bookman Old Style"/>
          <w:bCs/>
          <w:lang w:val="es-AR"/>
        </w:rPr>
        <w:t>como requisito de ejecutoriedad),</w:t>
      </w:r>
      <w:r>
        <w:rPr>
          <w:rFonts w:ascii="Bookman Old Style" w:hAnsi="Bookman Old Style"/>
          <w:bCs/>
          <w:lang w:val="es-AR"/>
        </w:rPr>
        <w:t xml:space="preserve"> deberán</w:t>
      </w:r>
      <w:r w:rsidRPr="005F7BB4">
        <w:rPr>
          <w:rFonts w:ascii="Bookman Old Style" w:hAnsi="Bookman Old Style"/>
          <w:bCs/>
          <w:lang w:val="es-AR"/>
        </w:rPr>
        <w:t xml:space="preserve"> operar</w:t>
      </w:r>
      <w:r>
        <w:rPr>
          <w:rFonts w:ascii="Bookman Old Style" w:hAnsi="Bookman Old Style"/>
          <w:bCs/>
          <w:lang w:val="es-AR"/>
        </w:rPr>
        <w:t xml:space="preserve"> </w:t>
      </w:r>
      <w:r w:rsidRPr="005F7BB4">
        <w:rPr>
          <w:rFonts w:ascii="Bookman Old Style" w:hAnsi="Bookman Old Style"/>
          <w:bCs/>
          <w:lang w:val="es-AR"/>
        </w:rPr>
        <w:t>con una flexibilización razonable, habida cuenta de la</w:t>
      </w:r>
      <w:r>
        <w:rPr>
          <w:rFonts w:ascii="Bookman Old Style" w:hAnsi="Bookman Old Style"/>
          <w:bCs/>
          <w:lang w:val="es-AR"/>
        </w:rPr>
        <w:t xml:space="preserve"> </w:t>
      </w:r>
      <w:r w:rsidRPr="005F7BB4">
        <w:rPr>
          <w:rFonts w:ascii="Bookman Old Style" w:hAnsi="Bookman Old Style"/>
          <w:bCs/>
          <w:lang w:val="es-AR"/>
        </w:rPr>
        <w:t>índole y significación de los objetivos, los matices sociales y del interés general que gravitan en su</w:t>
      </w:r>
      <w:r>
        <w:rPr>
          <w:rFonts w:ascii="Bookman Old Style" w:hAnsi="Bookman Old Style"/>
          <w:bCs/>
          <w:lang w:val="es-AR"/>
        </w:rPr>
        <w:t xml:space="preserve"> </w:t>
      </w:r>
      <w:r w:rsidRPr="005F7BB4">
        <w:rPr>
          <w:rFonts w:ascii="Bookman Old Style" w:hAnsi="Bookman Old Style"/>
          <w:bCs/>
          <w:lang w:val="es-AR"/>
        </w:rPr>
        <w:t>estimación, en orden a las consecuencias que habrían de seguirse de su materialización</w:t>
      </w:r>
      <w:r>
        <w:rPr>
          <w:rStyle w:val="Refdenotaalpie"/>
          <w:rFonts w:ascii="Bookman Old Style" w:hAnsi="Bookman Old Style"/>
          <w:bCs/>
          <w:lang w:val="es-AR"/>
        </w:rPr>
        <w:footnoteReference w:id="4"/>
      </w:r>
      <w:r>
        <w:rPr>
          <w:rFonts w:ascii="Bookman Old Style" w:hAnsi="Bookman Old Style"/>
          <w:bCs/>
          <w:lang w:val="es-AR"/>
        </w:rPr>
        <w:t>.</w:t>
      </w:r>
      <w:r w:rsidR="008342BD">
        <w:rPr>
          <w:rFonts w:ascii="Bookman Old Style" w:hAnsi="Bookman Old Style"/>
          <w:bCs/>
          <w:lang w:val="es-AR"/>
        </w:rPr>
        <w:t xml:space="preserve"> </w:t>
      </w:r>
    </w:p>
    <w:p w:rsidR="005C0028" w:rsidRDefault="005C0028" w:rsidP="005C0028">
      <w:pPr>
        <w:spacing w:after="0" w:line="360" w:lineRule="auto"/>
        <w:ind w:firstLine="2127"/>
        <w:jc w:val="both"/>
        <w:rPr>
          <w:rFonts w:ascii="Bookman Old Style" w:hAnsi="Bookman Old Style"/>
          <w:bCs/>
          <w:lang w:val="es-AR"/>
        </w:rPr>
      </w:pPr>
      <w:r>
        <w:rPr>
          <w:rFonts w:ascii="Bookman Old Style" w:hAnsi="Bookman Old Style" w:cs="Bookman Old Style"/>
          <w:lang w:val="es-AR"/>
        </w:rPr>
        <w:t xml:space="preserve">Por </w:t>
      </w:r>
      <w:r w:rsidRPr="00224EF6">
        <w:rPr>
          <w:rFonts w:ascii="Bookman Old Style" w:hAnsi="Bookman Old Style" w:cs="Bookman Old Style"/>
        </w:rPr>
        <w:t>lo mentado</w:t>
      </w:r>
      <w:r>
        <w:rPr>
          <w:rFonts w:ascii="Bookman Old Style" w:hAnsi="Bookman Old Style" w:cs="Bookman Old Style"/>
        </w:rPr>
        <w:t>,</w:t>
      </w:r>
      <w:r w:rsidRPr="00382ADB">
        <w:rPr>
          <w:rFonts w:ascii="Bookman Old Style" w:hAnsi="Bookman Old Style"/>
          <w:bCs/>
          <w:lang w:val="es-AR"/>
        </w:rPr>
        <w:t xml:space="preserve"> </w:t>
      </w:r>
      <w:r>
        <w:rPr>
          <w:rFonts w:ascii="Bookman Old Style" w:hAnsi="Bookman Old Style"/>
          <w:bCs/>
          <w:lang w:val="es-AR"/>
        </w:rPr>
        <w:t>d</w:t>
      </w:r>
      <w:r w:rsidRPr="00382ADB">
        <w:rPr>
          <w:rFonts w:ascii="Bookman Old Style" w:hAnsi="Bookman Old Style"/>
          <w:bCs/>
          <w:lang w:val="es-AR"/>
        </w:rPr>
        <w:t>ejo constancia bajo juramento de ley, que ofrezco com</w:t>
      </w:r>
      <w:r>
        <w:rPr>
          <w:rFonts w:ascii="Bookman Old Style" w:hAnsi="Bookman Old Style"/>
          <w:bCs/>
          <w:lang w:val="es-AR"/>
        </w:rPr>
        <w:t xml:space="preserve">o </w:t>
      </w:r>
      <w:proofErr w:type="spellStart"/>
      <w:r>
        <w:rPr>
          <w:rFonts w:ascii="Bookman Old Style" w:hAnsi="Bookman Old Style"/>
          <w:bCs/>
          <w:lang w:val="es-AR"/>
        </w:rPr>
        <w:t>contracautela</w:t>
      </w:r>
      <w:proofErr w:type="spellEnd"/>
      <w:r>
        <w:rPr>
          <w:rFonts w:ascii="Bookman Old Style" w:hAnsi="Bookman Old Style"/>
          <w:bCs/>
          <w:lang w:val="es-AR"/>
        </w:rPr>
        <w:t>,</w:t>
      </w:r>
      <w:r w:rsidRPr="00382ADB">
        <w:rPr>
          <w:rFonts w:ascii="Bookman Old Style" w:hAnsi="Bookman Old Style"/>
          <w:bCs/>
          <w:lang w:val="es-AR"/>
        </w:rPr>
        <w:t xml:space="preserve"> realización de la correspondiente caución juratoria</w:t>
      </w:r>
      <w:r>
        <w:rPr>
          <w:rFonts w:ascii="Bookman Old Style" w:hAnsi="Bookman Old Style"/>
          <w:bCs/>
          <w:lang w:val="es-AR"/>
        </w:rPr>
        <w:t xml:space="preserve"> en rigor de tornar procedente</w:t>
      </w:r>
      <w:r w:rsidRPr="00382ADB">
        <w:rPr>
          <w:rFonts w:ascii="Bookman Old Style" w:hAnsi="Bookman Old Style"/>
          <w:bCs/>
          <w:lang w:val="es-AR"/>
        </w:rPr>
        <w:t xml:space="preserve"> </w:t>
      </w:r>
      <w:r>
        <w:rPr>
          <w:rFonts w:ascii="Bookman Old Style" w:hAnsi="Bookman Old Style"/>
          <w:bCs/>
          <w:lang w:val="es-AR"/>
        </w:rPr>
        <w:t>el cese de actividad</w:t>
      </w:r>
      <w:r w:rsidRPr="00382ADB">
        <w:rPr>
          <w:rFonts w:ascii="Bookman Old Style" w:hAnsi="Bookman Old Style"/>
          <w:bCs/>
          <w:lang w:val="es-AR"/>
        </w:rPr>
        <w:t xml:space="preserve"> preventivo solicitado en estos folios, ante los eventuales daños y perjuicios que podrán irrogarse a la contraparte.</w:t>
      </w:r>
      <w:r>
        <w:rPr>
          <w:rFonts w:ascii="Bookman Old Style" w:hAnsi="Bookman Old Style"/>
          <w:bCs/>
          <w:lang w:val="es-AR"/>
        </w:rPr>
        <w:t xml:space="preserve"> </w:t>
      </w:r>
    </w:p>
    <w:p w:rsidR="005C0028" w:rsidRPr="00561170" w:rsidRDefault="008342BD" w:rsidP="005C0028">
      <w:pPr>
        <w:spacing w:after="0" w:line="360" w:lineRule="auto"/>
        <w:ind w:firstLine="2127"/>
        <w:jc w:val="both"/>
        <w:rPr>
          <w:rFonts w:ascii="Bookman Old Style" w:hAnsi="Bookman Old Style"/>
          <w:lang w:val="es-AR"/>
        </w:rPr>
      </w:pPr>
      <w:r>
        <w:rPr>
          <w:rFonts w:ascii="Bookman Old Style" w:hAnsi="Bookman Old Style"/>
          <w:bCs/>
          <w:lang w:val="es-AR"/>
        </w:rPr>
        <w:t>Jurisprudencialmente,</w:t>
      </w:r>
      <w:r w:rsidR="009D57CB">
        <w:rPr>
          <w:rFonts w:ascii="Bookman Old Style" w:hAnsi="Bookman Old Style"/>
          <w:bCs/>
          <w:lang w:val="es-AR"/>
        </w:rPr>
        <w:t xml:space="preserve"> sustenta la postura expuesta, el fallo de la CSJN “</w:t>
      </w:r>
      <w:r w:rsidR="005C0028" w:rsidRPr="00561170">
        <w:rPr>
          <w:rFonts w:ascii="Bookman Old Style" w:hAnsi="Bookman Old Style"/>
          <w:b/>
          <w:bCs/>
          <w:lang w:val="es-AR"/>
        </w:rPr>
        <w:t xml:space="preserve">Comunidad Indígena del pueblo </w:t>
      </w:r>
      <w:proofErr w:type="spellStart"/>
      <w:r w:rsidR="005C0028" w:rsidRPr="00561170">
        <w:rPr>
          <w:rFonts w:ascii="Bookman Old Style" w:hAnsi="Bookman Old Style"/>
          <w:b/>
          <w:bCs/>
          <w:lang w:val="es-AR"/>
        </w:rPr>
        <w:t>Wichi</w:t>
      </w:r>
      <w:proofErr w:type="spellEnd"/>
      <w:r w:rsidR="005C0028" w:rsidRPr="00561170">
        <w:rPr>
          <w:rFonts w:ascii="Bookman Old Style" w:hAnsi="Bookman Old Style"/>
          <w:b/>
          <w:bCs/>
          <w:lang w:val="es-AR"/>
        </w:rPr>
        <w:t xml:space="preserve"> </w:t>
      </w:r>
      <w:proofErr w:type="spellStart"/>
      <w:r w:rsidR="005C0028" w:rsidRPr="00561170">
        <w:rPr>
          <w:rFonts w:ascii="Bookman Old Style" w:hAnsi="Bookman Old Style"/>
          <w:b/>
          <w:bCs/>
          <w:lang w:val="es-AR"/>
        </w:rPr>
        <w:t>Hoktek</w:t>
      </w:r>
      <w:proofErr w:type="spellEnd"/>
      <w:r w:rsidR="005C0028" w:rsidRPr="00561170">
        <w:rPr>
          <w:rFonts w:ascii="Bookman Old Style" w:hAnsi="Bookman Old Style"/>
          <w:b/>
          <w:bCs/>
          <w:lang w:val="es-AR"/>
        </w:rPr>
        <w:t xml:space="preserve"> </w:t>
      </w:r>
      <w:proofErr w:type="spellStart"/>
      <w:r w:rsidR="005C0028" w:rsidRPr="00561170">
        <w:rPr>
          <w:rFonts w:ascii="Bookman Old Style" w:hAnsi="Bookman Old Style"/>
          <w:b/>
          <w:bCs/>
          <w:lang w:val="es-AR"/>
        </w:rPr>
        <w:t>Toi</w:t>
      </w:r>
      <w:proofErr w:type="spellEnd"/>
      <w:r w:rsidR="005C0028" w:rsidRPr="00561170">
        <w:rPr>
          <w:rFonts w:ascii="Bookman Old Style" w:hAnsi="Bookman Old Style"/>
          <w:b/>
          <w:bCs/>
          <w:lang w:val="es-AR"/>
        </w:rPr>
        <w:t xml:space="preserve"> c/Secretaría de</w:t>
      </w:r>
      <w:r w:rsidR="005C0028">
        <w:rPr>
          <w:rFonts w:ascii="Bookman Old Style" w:hAnsi="Bookman Old Style"/>
          <w:b/>
          <w:bCs/>
          <w:lang w:val="es-AR"/>
        </w:rPr>
        <w:t xml:space="preserve"> </w:t>
      </w:r>
      <w:r w:rsidR="005C0028" w:rsidRPr="00561170">
        <w:rPr>
          <w:rFonts w:ascii="Bookman Old Style" w:hAnsi="Bookman Old Style"/>
          <w:b/>
          <w:bCs/>
          <w:lang w:val="es-AR"/>
        </w:rPr>
        <w:t>Medio Amb</w:t>
      </w:r>
      <w:r w:rsidR="005C0028">
        <w:rPr>
          <w:rFonts w:ascii="Bookman Old Style" w:hAnsi="Bookman Old Style"/>
          <w:b/>
          <w:bCs/>
          <w:lang w:val="es-AR"/>
        </w:rPr>
        <w:t xml:space="preserve">iente y Desarrollo Sustentable”. </w:t>
      </w:r>
      <w:r w:rsidR="005C0028">
        <w:rPr>
          <w:rFonts w:ascii="Bookman Old Style" w:hAnsi="Bookman Old Style"/>
          <w:lang w:val="es-AR"/>
        </w:rPr>
        <w:t>E</w:t>
      </w:r>
      <w:r w:rsidR="005C0028" w:rsidRPr="00561170">
        <w:rPr>
          <w:rFonts w:ascii="Bookman Old Style" w:hAnsi="Bookman Old Style"/>
          <w:lang w:val="es-AR"/>
        </w:rPr>
        <w:t xml:space="preserve">n el año 2002 la Corte avanzó sobre </w:t>
      </w:r>
      <w:r w:rsidR="005C0028">
        <w:rPr>
          <w:rFonts w:ascii="Bookman Old Style" w:hAnsi="Bookman Old Style"/>
          <w:lang w:val="es-AR"/>
        </w:rPr>
        <w:t>los principios del derecho ambiental</w:t>
      </w:r>
      <w:r w:rsidR="005C0028" w:rsidRPr="00561170">
        <w:rPr>
          <w:rFonts w:ascii="Bookman Old Style" w:hAnsi="Bookman Old Style"/>
          <w:lang w:val="es-AR"/>
        </w:rPr>
        <w:t xml:space="preserve"> y su influencia en las pretensiones de amparo. Nos referimos a la incidencia del</w:t>
      </w:r>
      <w:r w:rsidR="005C0028">
        <w:rPr>
          <w:rFonts w:ascii="Bookman Old Style" w:hAnsi="Bookman Old Style"/>
          <w:lang w:val="es-AR"/>
        </w:rPr>
        <w:t xml:space="preserve"> </w:t>
      </w:r>
      <w:r w:rsidR="005C0028" w:rsidRPr="00561170">
        <w:rPr>
          <w:rFonts w:ascii="Bookman Old Style" w:hAnsi="Bookman Old Style"/>
          <w:lang w:val="es-AR"/>
        </w:rPr>
        <w:t>principio de precaución y prevención. La sentencia se dio en autos “</w:t>
      </w:r>
      <w:r w:rsidR="005C0028" w:rsidRPr="00561170">
        <w:rPr>
          <w:rFonts w:ascii="Bookman Old Style" w:hAnsi="Bookman Old Style"/>
          <w:i/>
          <w:iCs/>
          <w:lang w:val="es-AR"/>
        </w:rPr>
        <w:t>Comunidad Indígena del pueblo</w:t>
      </w:r>
      <w:r w:rsidR="005C0028">
        <w:rPr>
          <w:rFonts w:ascii="Bookman Old Style" w:hAnsi="Bookman Old Style"/>
          <w:i/>
          <w:iCs/>
          <w:lang w:val="es-AR"/>
        </w:rPr>
        <w:t xml:space="preserve"> </w:t>
      </w:r>
      <w:proofErr w:type="spellStart"/>
      <w:r w:rsidR="005C0028" w:rsidRPr="00561170">
        <w:rPr>
          <w:rFonts w:ascii="Bookman Old Style" w:hAnsi="Bookman Old Style"/>
          <w:i/>
          <w:iCs/>
          <w:lang w:val="es-AR"/>
        </w:rPr>
        <w:t>Wichi</w:t>
      </w:r>
      <w:proofErr w:type="spellEnd"/>
      <w:r w:rsidR="005C0028" w:rsidRPr="00561170">
        <w:rPr>
          <w:rFonts w:ascii="Bookman Old Style" w:hAnsi="Bookman Old Style"/>
          <w:i/>
          <w:iCs/>
          <w:lang w:val="es-AR"/>
        </w:rPr>
        <w:t xml:space="preserve"> </w:t>
      </w:r>
      <w:proofErr w:type="spellStart"/>
      <w:r w:rsidR="005C0028" w:rsidRPr="00561170">
        <w:rPr>
          <w:rFonts w:ascii="Bookman Old Style" w:hAnsi="Bookman Old Style"/>
          <w:i/>
          <w:iCs/>
          <w:lang w:val="es-AR"/>
        </w:rPr>
        <w:t>Hoktek</w:t>
      </w:r>
      <w:proofErr w:type="spellEnd"/>
      <w:r w:rsidR="005C0028" w:rsidRPr="00561170">
        <w:rPr>
          <w:rFonts w:ascii="Bookman Old Style" w:hAnsi="Bookman Old Style"/>
          <w:i/>
          <w:iCs/>
          <w:lang w:val="es-AR"/>
        </w:rPr>
        <w:t xml:space="preserve"> </w:t>
      </w:r>
      <w:proofErr w:type="spellStart"/>
      <w:r w:rsidR="005C0028" w:rsidRPr="00561170">
        <w:rPr>
          <w:rFonts w:ascii="Bookman Old Style" w:hAnsi="Bookman Old Style"/>
          <w:i/>
          <w:iCs/>
          <w:lang w:val="es-AR"/>
        </w:rPr>
        <w:t>Toi</w:t>
      </w:r>
      <w:proofErr w:type="spellEnd"/>
      <w:r w:rsidR="005C0028" w:rsidRPr="00561170">
        <w:rPr>
          <w:rFonts w:ascii="Bookman Old Style" w:hAnsi="Bookman Old Style"/>
          <w:i/>
          <w:iCs/>
          <w:lang w:val="es-AR"/>
        </w:rPr>
        <w:t xml:space="preserve"> c/Secretaría de Medio Ambiente y Desarrollo Sustentable</w:t>
      </w:r>
      <w:r w:rsidR="005C0028" w:rsidRPr="00561170">
        <w:rPr>
          <w:rFonts w:ascii="Bookman Old Style" w:hAnsi="Bookman Old Style"/>
          <w:lang w:val="es-AR"/>
        </w:rPr>
        <w:t>”. El caso es que la</w:t>
      </w:r>
      <w:r w:rsidR="005C0028">
        <w:rPr>
          <w:rFonts w:ascii="Bookman Old Style" w:hAnsi="Bookman Old Style"/>
          <w:lang w:val="es-AR"/>
        </w:rPr>
        <w:t xml:space="preserve"> </w:t>
      </w:r>
      <w:r w:rsidR="005C0028" w:rsidRPr="00561170">
        <w:rPr>
          <w:rFonts w:ascii="Bookman Old Style" w:hAnsi="Bookman Old Style"/>
          <w:lang w:val="es-AR"/>
        </w:rPr>
        <w:t>Comunidad indígena solicitó la declaración de nulidad de dos actos administrativos</w:t>
      </w:r>
      <w:r w:rsidR="005C0028">
        <w:rPr>
          <w:rFonts w:ascii="Bookman Old Style" w:hAnsi="Bookman Old Style"/>
          <w:lang w:val="es-AR"/>
        </w:rPr>
        <w:t xml:space="preserve"> </w:t>
      </w:r>
      <w:r w:rsidR="005C0028" w:rsidRPr="00561170">
        <w:rPr>
          <w:rFonts w:ascii="Bookman Old Style" w:hAnsi="Bookman Old Style"/>
          <w:lang w:val="es-AR"/>
        </w:rPr>
        <w:t>emitidos por la Secretaría de Medio Ambiente y Desarrollo Sustentable de la Provincia de Salta.</w:t>
      </w:r>
      <w:r w:rsidR="005C0028">
        <w:rPr>
          <w:rFonts w:ascii="Bookman Old Style" w:hAnsi="Bookman Old Style"/>
          <w:b/>
          <w:bCs/>
          <w:lang w:val="es-AR"/>
        </w:rPr>
        <w:t xml:space="preserve"> </w:t>
      </w:r>
      <w:r w:rsidR="005C0028" w:rsidRPr="00561170">
        <w:rPr>
          <w:rFonts w:ascii="Bookman Old Style" w:hAnsi="Bookman Old Style"/>
          <w:lang w:val="es-AR"/>
        </w:rPr>
        <w:t>El certificado 368 extendido el 23.7.1996 y válido hasta el 23.7.99 que autorizaba la deforestación</w:t>
      </w:r>
      <w:r w:rsidR="005C0028">
        <w:rPr>
          <w:rFonts w:ascii="Bookman Old Style" w:hAnsi="Bookman Old Style"/>
          <w:lang w:val="es-AR"/>
        </w:rPr>
        <w:t xml:space="preserve"> </w:t>
      </w:r>
      <w:r w:rsidR="005C0028" w:rsidRPr="00561170">
        <w:rPr>
          <w:rFonts w:ascii="Bookman Old Style" w:hAnsi="Bookman Old Style"/>
          <w:lang w:val="es-AR"/>
        </w:rPr>
        <w:t>indiscriminada de los Catastros rurales del Departamentos de San Martín de esa provincia y</w:t>
      </w:r>
      <w:r w:rsidR="009D57CB">
        <w:rPr>
          <w:rFonts w:ascii="Bookman Old Style" w:hAnsi="Bookman Old Style"/>
          <w:lang w:val="es-AR"/>
        </w:rPr>
        <w:t>,</w:t>
      </w:r>
      <w:r w:rsidR="005C0028" w:rsidRPr="00561170">
        <w:rPr>
          <w:rFonts w:ascii="Bookman Old Style" w:hAnsi="Bookman Old Style"/>
          <w:lang w:val="es-AR"/>
        </w:rPr>
        <w:t xml:space="preserve"> la</w:t>
      </w:r>
      <w:r w:rsidR="005C0028">
        <w:rPr>
          <w:rFonts w:ascii="Bookman Old Style" w:hAnsi="Bookman Old Style"/>
          <w:lang w:val="es-AR"/>
        </w:rPr>
        <w:t xml:space="preserve"> </w:t>
      </w:r>
      <w:r w:rsidR="005C0028" w:rsidRPr="00561170">
        <w:rPr>
          <w:rFonts w:ascii="Bookman Old Style" w:hAnsi="Bookman Old Style"/>
          <w:lang w:val="es-AR"/>
        </w:rPr>
        <w:t>actualización emitida por nota el 30.11.99 y válida hasta el 30.11.2002</w:t>
      </w:r>
      <w:r w:rsidR="009D57CB">
        <w:rPr>
          <w:rFonts w:ascii="Bookman Old Style" w:hAnsi="Bookman Old Style"/>
          <w:lang w:val="es-AR"/>
        </w:rPr>
        <w:t>,</w:t>
      </w:r>
      <w:r w:rsidR="005C0028" w:rsidRPr="00561170">
        <w:rPr>
          <w:rFonts w:ascii="Bookman Old Style" w:hAnsi="Bookman Old Style"/>
          <w:lang w:val="es-AR"/>
        </w:rPr>
        <w:t xml:space="preserve"> autorizando la prórroga del</w:t>
      </w:r>
      <w:r w:rsidR="005C0028">
        <w:rPr>
          <w:rFonts w:ascii="Bookman Old Style" w:hAnsi="Bookman Old Style"/>
          <w:lang w:val="es-AR"/>
        </w:rPr>
        <w:t xml:space="preserve"> </w:t>
      </w:r>
      <w:r w:rsidR="005C0028" w:rsidRPr="00561170">
        <w:rPr>
          <w:rFonts w:ascii="Bookman Old Style" w:hAnsi="Bookman Old Style"/>
          <w:lang w:val="es-AR"/>
        </w:rPr>
        <w:t>permiso s</w:t>
      </w:r>
      <w:r w:rsidR="005C0028">
        <w:rPr>
          <w:rFonts w:ascii="Bookman Old Style" w:hAnsi="Bookman Old Style"/>
          <w:lang w:val="es-AR"/>
        </w:rPr>
        <w:t>obre una superficie de 120 has.</w:t>
      </w:r>
      <w:r w:rsidR="009D57CB">
        <w:rPr>
          <w:rFonts w:ascii="Bookman Old Style" w:hAnsi="Bookman Old Style"/>
          <w:lang w:val="es-AR"/>
        </w:rPr>
        <w:t xml:space="preserve"> </w:t>
      </w:r>
      <w:r w:rsidR="005C0028" w:rsidRPr="00561170">
        <w:rPr>
          <w:rFonts w:ascii="Bookman Old Style" w:hAnsi="Bookman Old Style"/>
          <w:lang w:val="es-AR"/>
        </w:rPr>
        <w:t>La petición fue denegada en todos los estratos provinciales y se llega a la Corte por</w:t>
      </w:r>
      <w:r w:rsidR="005C0028">
        <w:rPr>
          <w:rFonts w:ascii="Bookman Old Style" w:hAnsi="Bookman Old Style"/>
          <w:lang w:val="es-AR"/>
        </w:rPr>
        <w:t xml:space="preserve"> </w:t>
      </w:r>
      <w:r w:rsidR="005C0028" w:rsidRPr="00561170">
        <w:rPr>
          <w:rFonts w:ascii="Bookman Old Style" w:hAnsi="Bookman Old Style"/>
          <w:lang w:val="es-AR"/>
        </w:rPr>
        <w:t>recurso de hecho. La denegatoria en todas las anteriores instancias se fundaba en que el amparo</w:t>
      </w:r>
      <w:r w:rsidR="005C0028">
        <w:rPr>
          <w:rFonts w:ascii="Bookman Old Style" w:hAnsi="Bookman Old Style"/>
          <w:lang w:val="es-AR"/>
        </w:rPr>
        <w:t xml:space="preserve"> </w:t>
      </w:r>
      <w:r w:rsidR="005C0028" w:rsidRPr="00561170">
        <w:rPr>
          <w:rFonts w:ascii="Bookman Old Style" w:hAnsi="Bookman Old Style"/>
          <w:lang w:val="es-AR"/>
        </w:rPr>
        <w:t>no era la vía idónea para éste tipo de planteos, siguiendo la doctrina de la Corte esbozada en el</w:t>
      </w:r>
      <w:r w:rsidR="005C0028">
        <w:rPr>
          <w:rFonts w:ascii="Bookman Old Style" w:hAnsi="Bookman Old Style"/>
          <w:lang w:val="es-AR"/>
        </w:rPr>
        <w:t xml:space="preserve"> </w:t>
      </w:r>
      <w:r w:rsidR="005C0028" w:rsidRPr="00561170">
        <w:rPr>
          <w:rFonts w:ascii="Bookman Old Style" w:hAnsi="Bookman Old Style"/>
          <w:lang w:val="es-AR"/>
        </w:rPr>
        <w:t>precedente. Pero</w:t>
      </w:r>
      <w:r w:rsidR="009D57CB">
        <w:rPr>
          <w:rFonts w:ascii="Bookman Old Style" w:hAnsi="Bookman Old Style"/>
          <w:lang w:val="es-AR"/>
        </w:rPr>
        <w:t>,</w:t>
      </w:r>
      <w:r w:rsidR="005C0028" w:rsidRPr="00561170">
        <w:rPr>
          <w:rFonts w:ascii="Bookman Old Style" w:hAnsi="Bookman Old Style"/>
          <w:lang w:val="es-AR"/>
        </w:rPr>
        <w:t xml:space="preserve"> sorprendentemente el Alto Tribunal modificó su doctrina y resolvió admitiendo</w:t>
      </w:r>
      <w:r w:rsidR="005C0028">
        <w:rPr>
          <w:rFonts w:ascii="Bookman Old Style" w:hAnsi="Bookman Old Style"/>
          <w:lang w:val="es-AR"/>
        </w:rPr>
        <w:t xml:space="preserve"> </w:t>
      </w:r>
      <w:r w:rsidR="005C0028" w:rsidRPr="00561170">
        <w:rPr>
          <w:rFonts w:ascii="Bookman Old Style" w:hAnsi="Bookman Old Style"/>
          <w:lang w:val="es-AR"/>
        </w:rPr>
        <w:t>el recurso y revocando la sentencia del alto Tribunal de Salta. Se</w:t>
      </w:r>
      <w:r w:rsidR="005C0028">
        <w:rPr>
          <w:rFonts w:ascii="Bookman Old Style" w:hAnsi="Bookman Old Style"/>
          <w:lang w:val="es-AR"/>
        </w:rPr>
        <w:t xml:space="preserve"> dijo en la sentencia: </w:t>
      </w:r>
      <w:r w:rsidR="005C0028" w:rsidRPr="00561170">
        <w:rPr>
          <w:rFonts w:ascii="Bookman Old Style" w:hAnsi="Bookman Old Style"/>
          <w:lang w:val="es-AR"/>
        </w:rPr>
        <w:t>“</w:t>
      </w:r>
      <w:r w:rsidR="005C0028" w:rsidRPr="005F7BB4">
        <w:rPr>
          <w:rFonts w:ascii="Bookman Old Style" w:hAnsi="Bookman Old Style"/>
          <w:i/>
          <w:lang w:val="es-AR"/>
        </w:rPr>
        <w:t>... 4) Que, en el caso, la Corte local no dio suficiente respuesta a planteos conducentes de la actora tendientes a demostrar que la tutela de sus derechos no encontraría adecuado cauce por la vías ordinarias. A tal fin, debió advertir que la elección del amparo, como remedio judicial expeditivo, se sustentó en la existencia y eventual agravamiento de los daños al medio ambiente provocados por la actividad autorizada por la administración – mediante los actos cuestionados -, consistentes, entre otros, en la eliminación del bosque a raíz de su deforestación como consecuencias irreparables, tales como la pérdida especies (alteración de la biodiversidad), cambios climáticos y desertización (debida a la erosión y salinización del suelo); y la afectación de varias hectáreas colindantes con el emplazamiento de la comunidad indígena – donde también viven algunos de sus miembros -, en las que además de hallarse un pozo de agua que la abastece, se encuentra la escuela y una represa, construidas, y destinadas al uso de sus integrantes.</w:t>
      </w:r>
      <w:r w:rsidR="005C0028">
        <w:rPr>
          <w:rFonts w:ascii="Bookman Old Style" w:hAnsi="Bookman Old Style"/>
          <w:lang w:val="es-AR"/>
        </w:rPr>
        <w:t xml:space="preserve"> </w:t>
      </w:r>
      <w:r w:rsidR="005C0028" w:rsidRPr="005F7BB4">
        <w:rPr>
          <w:rFonts w:ascii="Bookman Old Style" w:hAnsi="Bookman Old Style"/>
          <w:i/>
          <w:lang w:val="es-AR"/>
        </w:rPr>
        <w:t xml:space="preserve">5) Que, asimismo, constituye un exceso de rigor formal sostener que las cuestiones requerían mayor debate y prueba, pues a fin de determinar la existencia de arbitrariedad o ilegalidad manifiesta, resultaba suficiente controlar que los actos impugnados hubieran respetado los procedimientos exigidos por la legislación provincial y nacional vigentes para autorizar la actividad. A tal fin, bastaba con examinar si, de conformidad con las </w:t>
      </w:r>
      <w:r w:rsidR="005C0028" w:rsidRPr="005F7BB4">
        <w:rPr>
          <w:rFonts w:ascii="Bookman Old Style" w:hAnsi="Bookman Old Style"/>
          <w:i/>
          <w:iCs/>
          <w:lang w:val="es-AR"/>
        </w:rPr>
        <w:t xml:space="preserve">normas </w:t>
      </w:r>
      <w:r w:rsidR="005C0028" w:rsidRPr="005F7BB4">
        <w:rPr>
          <w:rFonts w:ascii="Bookman Old Style" w:hAnsi="Bookman Old Style"/>
          <w:i/>
          <w:lang w:val="es-AR"/>
        </w:rPr>
        <w:t xml:space="preserve">invocadas por la actora, la </w:t>
      </w:r>
      <w:r w:rsidR="005C0028" w:rsidRPr="005F7BB4">
        <w:rPr>
          <w:rFonts w:ascii="Bookman Old Style" w:hAnsi="Bookman Old Style"/>
          <w:i/>
          <w:iCs/>
          <w:lang w:val="es-AR"/>
        </w:rPr>
        <w:t xml:space="preserve">autorización </w:t>
      </w:r>
      <w:r w:rsidR="005C0028" w:rsidRPr="005F7BB4">
        <w:rPr>
          <w:rFonts w:ascii="Bookman Old Style" w:hAnsi="Bookman Old Style"/>
          <w:i/>
          <w:lang w:val="es-AR"/>
        </w:rPr>
        <w:t xml:space="preserve">y prórroga de la actividad en cuestión requería una </w:t>
      </w:r>
      <w:r w:rsidR="005C0028" w:rsidRPr="005F7BB4">
        <w:rPr>
          <w:rFonts w:ascii="Bookman Old Style" w:hAnsi="Bookman Old Style"/>
          <w:i/>
          <w:iCs/>
          <w:lang w:val="es-AR"/>
        </w:rPr>
        <w:t>evaluación previa de impacto ambiental y social</w:t>
      </w:r>
      <w:r w:rsidR="005C0028" w:rsidRPr="005F7BB4">
        <w:rPr>
          <w:rFonts w:ascii="Bookman Old Style" w:hAnsi="Bookman Old Style"/>
          <w:i/>
          <w:lang w:val="es-AR"/>
        </w:rPr>
        <w:t>, y si se había respetado lo dispuesto por el art. 75 inc. 17 de la Constitución Nacional.</w:t>
      </w:r>
      <w:r w:rsidR="005C0028">
        <w:rPr>
          <w:rFonts w:ascii="Bookman Old Style" w:hAnsi="Bookman Old Style"/>
          <w:lang w:val="es-AR"/>
        </w:rPr>
        <w:t>”</w:t>
      </w:r>
      <w:r w:rsidR="005C0028" w:rsidRPr="00561170">
        <w:rPr>
          <w:rFonts w:ascii="Bookman Old Style" w:hAnsi="Bookman Old Style"/>
          <w:lang w:val="es-AR"/>
        </w:rPr>
        <w:t xml:space="preserve"> (CSJN autos caratulados “</w:t>
      </w:r>
      <w:r w:rsidR="005C0028" w:rsidRPr="00561170">
        <w:rPr>
          <w:rFonts w:ascii="Bookman Old Style" w:hAnsi="Bookman Old Style"/>
          <w:i/>
          <w:iCs/>
          <w:lang w:val="es-AR"/>
        </w:rPr>
        <w:t>Recurso de hecho deducido por la Comunidad Indígena</w:t>
      </w:r>
      <w:r w:rsidR="005C0028">
        <w:rPr>
          <w:rFonts w:ascii="Bookman Old Style" w:hAnsi="Bookman Old Style"/>
          <w:i/>
          <w:iCs/>
          <w:lang w:val="es-AR"/>
        </w:rPr>
        <w:t xml:space="preserve"> </w:t>
      </w:r>
      <w:r w:rsidR="005C0028" w:rsidRPr="00561170">
        <w:rPr>
          <w:rFonts w:ascii="Bookman Old Style" w:hAnsi="Bookman Old Style"/>
          <w:i/>
          <w:iCs/>
          <w:lang w:val="es-AR"/>
        </w:rPr>
        <w:t xml:space="preserve">del pueblo </w:t>
      </w:r>
      <w:proofErr w:type="spellStart"/>
      <w:r w:rsidR="005C0028" w:rsidRPr="00561170">
        <w:rPr>
          <w:rFonts w:ascii="Bookman Old Style" w:hAnsi="Bookman Old Style"/>
          <w:i/>
          <w:iCs/>
          <w:lang w:val="es-AR"/>
        </w:rPr>
        <w:t>Wichi</w:t>
      </w:r>
      <w:proofErr w:type="spellEnd"/>
      <w:r w:rsidR="005C0028" w:rsidRPr="00561170">
        <w:rPr>
          <w:rFonts w:ascii="Bookman Old Style" w:hAnsi="Bookman Old Style"/>
          <w:i/>
          <w:iCs/>
          <w:lang w:val="es-AR"/>
        </w:rPr>
        <w:t xml:space="preserve"> </w:t>
      </w:r>
      <w:proofErr w:type="spellStart"/>
      <w:r w:rsidR="005C0028" w:rsidRPr="00561170">
        <w:rPr>
          <w:rFonts w:ascii="Bookman Old Style" w:hAnsi="Bookman Old Style"/>
          <w:i/>
          <w:iCs/>
          <w:lang w:val="es-AR"/>
        </w:rPr>
        <w:t>Hoktek</w:t>
      </w:r>
      <w:proofErr w:type="spellEnd"/>
      <w:r w:rsidR="005C0028" w:rsidRPr="00561170">
        <w:rPr>
          <w:rFonts w:ascii="Bookman Old Style" w:hAnsi="Bookman Old Style"/>
          <w:i/>
          <w:iCs/>
          <w:lang w:val="es-AR"/>
        </w:rPr>
        <w:t xml:space="preserve"> </w:t>
      </w:r>
      <w:proofErr w:type="spellStart"/>
      <w:r w:rsidR="005C0028" w:rsidRPr="00561170">
        <w:rPr>
          <w:rFonts w:ascii="Bookman Old Style" w:hAnsi="Bookman Old Style"/>
          <w:i/>
          <w:iCs/>
          <w:lang w:val="es-AR"/>
        </w:rPr>
        <w:t>Toi</w:t>
      </w:r>
      <w:proofErr w:type="spellEnd"/>
      <w:r w:rsidR="005C0028" w:rsidRPr="00561170">
        <w:rPr>
          <w:rFonts w:ascii="Bookman Old Style" w:hAnsi="Bookman Old Style"/>
          <w:i/>
          <w:iCs/>
          <w:lang w:val="es-AR"/>
        </w:rPr>
        <w:t xml:space="preserve"> c/Secretaría de Medio Ambiente y Desarrollo Sustentable</w:t>
      </w:r>
      <w:r w:rsidR="005C0028" w:rsidRPr="00561170">
        <w:rPr>
          <w:rFonts w:ascii="Bookman Old Style" w:hAnsi="Bookman Old Style"/>
          <w:lang w:val="es-AR"/>
        </w:rPr>
        <w:t>”,11.7.2002)</w:t>
      </w:r>
      <w:r w:rsidR="005C0028">
        <w:rPr>
          <w:rFonts w:ascii="Bookman Old Style" w:hAnsi="Bookman Old Style"/>
          <w:lang w:val="es-AR"/>
        </w:rPr>
        <w:t>.</w:t>
      </w:r>
    </w:p>
    <w:p w:rsidR="005C0028" w:rsidRPr="00561170" w:rsidRDefault="00BD6F1E" w:rsidP="005C0028">
      <w:pPr>
        <w:spacing w:after="0" w:line="360" w:lineRule="auto"/>
        <w:ind w:firstLine="2127"/>
        <w:jc w:val="both"/>
        <w:rPr>
          <w:rFonts w:ascii="Bookman Old Style" w:hAnsi="Bookman Old Style"/>
          <w:lang w:val="es-AR"/>
        </w:rPr>
      </w:pPr>
      <w:r>
        <w:rPr>
          <w:rFonts w:ascii="Bookman Old Style" w:hAnsi="Bookman Old Style"/>
          <w:lang w:val="es-AR"/>
        </w:rPr>
        <w:t>En virtud de lo expuesto en relación al fallo citado, se advierte que</w:t>
      </w:r>
      <w:r w:rsidR="009D57CB">
        <w:rPr>
          <w:rFonts w:ascii="Bookman Old Style" w:hAnsi="Bookman Old Style"/>
          <w:lang w:val="es-AR"/>
        </w:rPr>
        <w:t xml:space="preserve"> </w:t>
      </w:r>
      <w:r w:rsidR="005C0028" w:rsidRPr="00561170">
        <w:rPr>
          <w:rFonts w:ascii="Bookman Old Style" w:hAnsi="Bookman Old Style"/>
          <w:lang w:val="es-AR"/>
        </w:rPr>
        <w:t xml:space="preserve">la Corte Suprema en ésta sentencia afirma el carácter </w:t>
      </w:r>
      <w:r>
        <w:rPr>
          <w:rFonts w:ascii="Bookman Old Style" w:hAnsi="Bookman Old Style"/>
          <w:lang w:val="es-AR"/>
        </w:rPr>
        <w:t>de puro</w:t>
      </w:r>
      <w:r w:rsidR="005C0028" w:rsidRPr="00561170">
        <w:rPr>
          <w:rFonts w:ascii="Bookman Old Style" w:hAnsi="Bookman Old Style"/>
          <w:lang w:val="es-AR"/>
        </w:rPr>
        <w:t xml:space="preserve"> derecho de éstos procesos donde bastará con verificar si la actividad posee</w:t>
      </w:r>
      <w:r w:rsidR="005C0028">
        <w:rPr>
          <w:rFonts w:ascii="Bookman Old Style" w:hAnsi="Bookman Old Style"/>
          <w:lang w:val="es-AR"/>
        </w:rPr>
        <w:t xml:space="preserve"> Declaración de Impacto Ambiental</w:t>
      </w:r>
      <w:r w:rsidR="005C0028" w:rsidRPr="00561170">
        <w:rPr>
          <w:rFonts w:ascii="Bookman Old Style" w:hAnsi="Bookman Old Style"/>
          <w:lang w:val="es-AR"/>
        </w:rPr>
        <w:t xml:space="preserve"> </w:t>
      </w:r>
      <w:r w:rsidR="005C0028">
        <w:rPr>
          <w:rFonts w:ascii="Bookman Old Style" w:hAnsi="Bookman Old Style"/>
          <w:lang w:val="es-AR"/>
        </w:rPr>
        <w:t>(</w:t>
      </w:r>
      <w:r w:rsidR="005C0028" w:rsidRPr="00561170">
        <w:rPr>
          <w:rFonts w:ascii="Bookman Old Style" w:hAnsi="Bookman Old Style"/>
          <w:lang w:val="es-AR"/>
        </w:rPr>
        <w:t>DIA</w:t>
      </w:r>
      <w:r w:rsidR="005C0028">
        <w:rPr>
          <w:rFonts w:ascii="Bookman Old Style" w:hAnsi="Bookman Old Style"/>
          <w:lang w:val="es-AR"/>
        </w:rPr>
        <w:t>)</w:t>
      </w:r>
      <w:r w:rsidR="005C0028" w:rsidRPr="00561170">
        <w:rPr>
          <w:rFonts w:ascii="Bookman Old Style" w:hAnsi="Bookman Old Style"/>
          <w:lang w:val="es-AR"/>
        </w:rPr>
        <w:t xml:space="preserve"> autorizante o</w:t>
      </w:r>
      <w:r w:rsidR="005C0028">
        <w:rPr>
          <w:rFonts w:ascii="Bookman Old Style" w:hAnsi="Bookman Old Style"/>
          <w:lang w:val="es-AR"/>
        </w:rPr>
        <w:t xml:space="preserve"> </w:t>
      </w:r>
      <w:r w:rsidR="005C0028" w:rsidRPr="00561170">
        <w:rPr>
          <w:rFonts w:ascii="Bookman Old Style" w:hAnsi="Bookman Old Style"/>
          <w:lang w:val="es-AR"/>
        </w:rPr>
        <w:t>no para saber si la misma</w:t>
      </w:r>
      <w:r w:rsidR="005C0028">
        <w:rPr>
          <w:rFonts w:ascii="Bookman Old Style" w:hAnsi="Bookman Old Style"/>
          <w:lang w:val="es-AR"/>
        </w:rPr>
        <w:t xml:space="preserve"> es clandestina, y </w:t>
      </w:r>
      <w:r>
        <w:rPr>
          <w:rFonts w:ascii="Bookman Old Style" w:hAnsi="Bookman Old Style"/>
          <w:lang w:val="es-AR"/>
        </w:rPr>
        <w:t xml:space="preserve">proceder así a </w:t>
      </w:r>
      <w:r w:rsidR="005C0028">
        <w:rPr>
          <w:rFonts w:ascii="Bookman Old Style" w:hAnsi="Bookman Old Style"/>
          <w:lang w:val="es-AR"/>
        </w:rPr>
        <w:t xml:space="preserve">suspenderla. </w:t>
      </w:r>
      <w:r w:rsidRPr="00561170">
        <w:rPr>
          <w:rFonts w:ascii="Bookman Old Style" w:hAnsi="Bookman Old Style"/>
          <w:lang w:val="es-AR"/>
        </w:rPr>
        <w:t>Al mismo tiempo</w:t>
      </w:r>
      <w:r w:rsidR="005C0028" w:rsidRPr="00561170">
        <w:rPr>
          <w:rFonts w:ascii="Bookman Old Style" w:hAnsi="Bookman Old Style"/>
          <w:lang w:val="es-AR"/>
        </w:rPr>
        <w:t xml:space="preserve"> ésta doctrina establece una directriz derogatoria de la regla de derecho común de acreditar la verosimilitud</w:t>
      </w:r>
      <w:r w:rsidR="005C0028">
        <w:rPr>
          <w:rFonts w:ascii="Bookman Old Style" w:hAnsi="Bookman Old Style"/>
          <w:lang w:val="es-AR"/>
        </w:rPr>
        <w:t xml:space="preserve"> </w:t>
      </w:r>
      <w:r w:rsidR="005C0028" w:rsidRPr="00561170">
        <w:rPr>
          <w:rFonts w:ascii="Bookman Old Style" w:hAnsi="Bookman Old Style"/>
          <w:lang w:val="es-AR"/>
        </w:rPr>
        <w:t xml:space="preserve">del derecho y el peligro en la demora. </w:t>
      </w:r>
      <w:r>
        <w:rPr>
          <w:rFonts w:ascii="Bookman Old Style" w:hAnsi="Bookman Old Style"/>
          <w:lang w:val="es-AR"/>
        </w:rPr>
        <w:t>Incluso, de</w:t>
      </w:r>
      <w:r w:rsidR="005C0028" w:rsidRPr="00561170">
        <w:rPr>
          <w:rFonts w:ascii="Bookman Old Style" w:hAnsi="Bookman Old Style"/>
          <w:lang w:val="es-AR"/>
        </w:rPr>
        <w:t xml:space="preserve"> la doctrina del fallo se puede</w:t>
      </w:r>
      <w:r w:rsidR="009D57CB">
        <w:rPr>
          <w:rFonts w:ascii="Bookman Old Style" w:hAnsi="Bookman Old Style"/>
          <w:lang w:val="es-AR"/>
        </w:rPr>
        <w:t>n</w:t>
      </w:r>
      <w:r w:rsidR="005C0028" w:rsidRPr="00561170">
        <w:rPr>
          <w:rFonts w:ascii="Bookman Old Style" w:hAnsi="Bookman Old Style"/>
          <w:lang w:val="es-AR"/>
        </w:rPr>
        <w:t xml:space="preserve"> desprender</w:t>
      </w:r>
      <w:r w:rsidR="005C0028">
        <w:rPr>
          <w:rFonts w:ascii="Bookman Old Style" w:hAnsi="Bookman Old Style"/>
          <w:lang w:val="es-AR"/>
        </w:rPr>
        <w:t xml:space="preserve"> </w:t>
      </w:r>
      <w:r w:rsidR="005C0028" w:rsidRPr="00561170">
        <w:rPr>
          <w:rFonts w:ascii="Bookman Old Style" w:hAnsi="Bookman Old Style"/>
          <w:lang w:val="es-AR"/>
        </w:rPr>
        <w:t>varias cuestiones:</w:t>
      </w:r>
    </w:p>
    <w:p w:rsidR="005C0028" w:rsidRPr="00561170" w:rsidRDefault="005C0028" w:rsidP="005C0028">
      <w:pPr>
        <w:spacing w:after="0" w:line="360" w:lineRule="auto"/>
        <w:ind w:firstLine="2127"/>
        <w:jc w:val="both"/>
        <w:rPr>
          <w:rFonts w:ascii="Bookman Old Style" w:hAnsi="Bookman Old Style"/>
          <w:lang w:val="es-AR"/>
        </w:rPr>
      </w:pPr>
      <w:r w:rsidRPr="00561170">
        <w:rPr>
          <w:rFonts w:ascii="Bookman Old Style" w:hAnsi="Bookman Old Style"/>
          <w:lang w:val="es-AR"/>
        </w:rPr>
        <w:t>· La aceptación de que el trámite de la acción de cese por actividades iniciadas sin EIA se</w:t>
      </w:r>
      <w:r>
        <w:rPr>
          <w:rFonts w:ascii="Bookman Old Style" w:hAnsi="Bookman Old Style"/>
          <w:lang w:val="es-AR"/>
        </w:rPr>
        <w:t xml:space="preserve"> </w:t>
      </w:r>
      <w:r w:rsidRPr="00561170">
        <w:rPr>
          <w:rFonts w:ascii="Bookman Old Style" w:hAnsi="Bookman Old Style"/>
          <w:lang w:val="es-AR"/>
        </w:rPr>
        <w:t>da ante supuestos especiales de urgencia</w:t>
      </w:r>
      <w:r w:rsidR="00BD6F1E">
        <w:rPr>
          <w:rFonts w:ascii="Bookman Old Style" w:hAnsi="Bookman Old Style"/>
          <w:lang w:val="es-AR"/>
        </w:rPr>
        <w:t xml:space="preserve"> notoria y  manifiesta; con ello se</w:t>
      </w:r>
      <w:r w:rsidRPr="00561170">
        <w:rPr>
          <w:rFonts w:ascii="Bookman Old Style" w:hAnsi="Bookman Old Style"/>
          <w:lang w:val="es-AR"/>
        </w:rPr>
        <w:t xml:space="preserve"> modifica</w:t>
      </w:r>
      <w:r w:rsidR="00BD6F1E">
        <w:rPr>
          <w:rFonts w:ascii="Bookman Old Style" w:hAnsi="Bookman Old Style"/>
          <w:lang w:val="es-AR"/>
        </w:rPr>
        <w:t>n</w:t>
      </w:r>
      <w:r w:rsidRPr="00561170">
        <w:rPr>
          <w:rFonts w:ascii="Bookman Old Style" w:hAnsi="Bookman Old Style"/>
          <w:lang w:val="es-AR"/>
        </w:rPr>
        <w:t xml:space="preserve"> los parámetros</w:t>
      </w:r>
      <w:r>
        <w:rPr>
          <w:rFonts w:ascii="Bookman Old Style" w:hAnsi="Bookman Old Style"/>
          <w:lang w:val="es-AR"/>
        </w:rPr>
        <w:t xml:space="preserve"> </w:t>
      </w:r>
      <w:r w:rsidRPr="00561170">
        <w:rPr>
          <w:rFonts w:ascii="Bookman Old Style" w:hAnsi="Bookman Old Style"/>
          <w:lang w:val="es-AR"/>
        </w:rPr>
        <w:t>tradicionales que éste mismo tribunal</w:t>
      </w:r>
      <w:r w:rsidR="00BD6F1E">
        <w:rPr>
          <w:rFonts w:ascii="Bookman Old Style" w:hAnsi="Bookman Old Style"/>
          <w:lang w:val="es-AR"/>
        </w:rPr>
        <w:t xml:space="preserve"> tenía</w:t>
      </w:r>
      <w:r w:rsidRPr="00561170">
        <w:rPr>
          <w:rFonts w:ascii="Bookman Old Style" w:hAnsi="Bookman Old Style"/>
          <w:lang w:val="es-AR"/>
        </w:rPr>
        <w:t xml:space="preserve"> establecido. Esto queda claro cuando </w:t>
      </w:r>
      <w:r w:rsidR="00BD6F1E">
        <w:rPr>
          <w:rFonts w:ascii="Bookman Old Style" w:hAnsi="Bookman Old Style"/>
          <w:lang w:val="es-AR"/>
        </w:rPr>
        <w:t xml:space="preserve">en </w:t>
      </w:r>
      <w:r w:rsidRPr="00561170">
        <w:rPr>
          <w:rFonts w:ascii="Bookman Old Style" w:hAnsi="Bookman Old Style"/>
          <w:lang w:val="es-AR"/>
        </w:rPr>
        <w:t>el</w:t>
      </w:r>
      <w:r>
        <w:rPr>
          <w:rFonts w:ascii="Bookman Old Style" w:hAnsi="Bookman Old Style"/>
          <w:lang w:val="es-AR"/>
        </w:rPr>
        <w:t xml:space="preserve"> </w:t>
      </w:r>
      <w:r w:rsidRPr="00561170">
        <w:rPr>
          <w:rFonts w:ascii="Bookman Old Style" w:hAnsi="Bookman Old Style"/>
          <w:lang w:val="es-AR"/>
        </w:rPr>
        <w:t>decisorio se separa expresamente de sus antecedentes diciendo que “</w:t>
      </w:r>
      <w:r w:rsidRPr="00BD6F1E">
        <w:rPr>
          <w:rFonts w:ascii="Bookman Old Style" w:hAnsi="Bookman Old Style"/>
          <w:i/>
          <w:lang w:val="es-AR"/>
        </w:rPr>
        <w:t>constituye un exceso de rigor formal sostener que las cuestiones requerían mayor debate y prueba</w:t>
      </w:r>
      <w:r w:rsidRPr="00561170">
        <w:rPr>
          <w:rFonts w:ascii="Bookman Old Style" w:hAnsi="Bookman Old Style"/>
          <w:lang w:val="es-AR"/>
        </w:rPr>
        <w:t>”,</w:t>
      </w:r>
      <w:r w:rsidR="00BD6F1E">
        <w:rPr>
          <w:rFonts w:ascii="Bookman Old Style" w:hAnsi="Bookman Old Style"/>
          <w:lang w:val="es-AR"/>
        </w:rPr>
        <w:t xml:space="preserve"> </w:t>
      </w:r>
      <w:r w:rsidR="00015EA3">
        <w:rPr>
          <w:rFonts w:ascii="Bookman Old Style" w:hAnsi="Bookman Old Style"/>
          <w:lang w:val="es-AR"/>
        </w:rPr>
        <w:t>circunstancia que denota una clara intención de separarse de aquella doctrina</w:t>
      </w:r>
      <w:r w:rsidRPr="00561170">
        <w:rPr>
          <w:rFonts w:ascii="Bookman Old Style" w:hAnsi="Bookman Old Style"/>
          <w:lang w:val="es-AR"/>
        </w:rPr>
        <w:t>.</w:t>
      </w:r>
    </w:p>
    <w:p w:rsidR="005C0028" w:rsidRPr="00561170" w:rsidRDefault="005C0028" w:rsidP="005C0028">
      <w:pPr>
        <w:spacing w:after="0" w:line="360" w:lineRule="auto"/>
        <w:ind w:firstLine="2127"/>
        <w:jc w:val="both"/>
        <w:rPr>
          <w:rFonts w:ascii="Bookman Old Style" w:hAnsi="Bookman Old Style"/>
          <w:lang w:val="es-AR"/>
        </w:rPr>
      </w:pPr>
      <w:r w:rsidRPr="00561170">
        <w:rPr>
          <w:rFonts w:ascii="Bookman Old Style" w:hAnsi="Bookman Old Style"/>
          <w:lang w:val="es-AR"/>
        </w:rPr>
        <w:t xml:space="preserve">· </w:t>
      </w:r>
      <w:r w:rsidR="00015EA3">
        <w:rPr>
          <w:rFonts w:ascii="Bookman Old Style" w:hAnsi="Bookman Old Style"/>
          <w:lang w:val="es-AR"/>
        </w:rPr>
        <w:t>Dicha sentencia da por hecho</w:t>
      </w:r>
      <w:r w:rsidRPr="00561170">
        <w:rPr>
          <w:rFonts w:ascii="Bookman Old Style" w:hAnsi="Bookman Old Style"/>
          <w:lang w:val="es-AR"/>
        </w:rPr>
        <w:t xml:space="preserve"> </w:t>
      </w:r>
      <w:proofErr w:type="spellStart"/>
      <w:r w:rsidRPr="00561170">
        <w:rPr>
          <w:rFonts w:ascii="Bookman Old Style" w:hAnsi="Bookman Old Style"/>
          <w:lang w:val="es-AR"/>
        </w:rPr>
        <w:t>qué</w:t>
      </w:r>
      <w:proofErr w:type="spellEnd"/>
      <w:r w:rsidR="00015EA3">
        <w:rPr>
          <w:rFonts w:ascii="Bookman Old Style" w:hAnsi="Bookman Old Style"/>
          <w:lang w:val="es-AR"/>
        </w:rPr>
        <w:t>,</w:t>
      </w:r>
      <w:r w:rsidRPr="00561170">
        <w:rPr>
          <w:rFonts w:ascii="Bookman Old Style" w:hAnsi="Bookman Old Style"/>
          <w:lang w:val="es-AR"/>
        </w:rPr>
        <w:t xml:space="preserve"> a fin de acreditar “</w:t>
      </w:r>
      <w:r w:rsidRPr="009D57CB">
        <w:rPr>
          <w:rFonts w:ascii="Bookman Old Style" w:hAnsi="Bookman Old Style"/>
          <w:i/>
          <w:lang w:val="es-AR"/>
        </w:rPr>
        <w:t xml:space="preserve">la existencia de arbitrariedad o ilegalidad manifiesta, resultaba suficiente controlar que los </w:t>
      </w:r>
      <w:r w:rsidRPr="009D57CB">
        <w:rPr>
          <w:rFonts w:ascii="Bookman Old Style" w:hAnsi="Bookman Old Style"/>
          <w:i/>
          <w:iCs/>
          <w:lang w:val="es-AR"/>
        </w:rPr>
        <w:t xml:space="preserve">actos </w:t>
      </w:r>
      <w:r w:rsidRPr="009D57CB">
        <w:rPr>
          <w:rFonts w:ascii="Bookman Old Style" w:hAnsi="Bookman Old Style"/>
          <w:i/>
          <w:lang w:val="es-AR"/>
        </w:rPr>
        <w:t>impugnados hubieran respetado los procedimientos exigidos por la legislación provincial y nacional vigentes para autorizar la actividad”</w:t>
      </w:r>
      <w:r w:rsidRPr="00740134">
        <w:rPr>
          <w:rFonts w:ascii="Bookman Old Style" w:hAnsi="Bookman Old Style"/>
          <w:lang w:val="es-AR"/>
        </w:rPr>
        <w:t>. Por lo tanto</w:t>
      </w:r>
      <w:r w:rsidR="00BD6F1E">
        <w:rPr>
          <w:rFonts w:ascii="Bookman Old Style" w:hAnsi="Bookman Old Style"/>
          <w:lang w:val="es-AR"/>
        </w:rPr>
        <w:t>,</w:t>
      </w:r>
      <w:r w:rsidRPr="00740134">
        <w:rPr>
          <w:rFonts w:ascii="Bookman Old Style" w:hAnsi="Bookman Old Style"/>
          <w:lang w:val="es-AR"/>
        </w:rPr>
        <w:t xml:space="preserve"> </w:t>
      </w:r>
      <w:r w:rsidR="00015EA3">
        <w:rPr>
          <w:rFonts w:ascii="Bookman Old Style" w:hAnsi="Bookman Old Style"/>
          <w:lang w:val="es-AR"/>
        </w:rPr>
        <w:t>bastará con</w:t>
      </w:r>
      <w:r w:rsidRPr="00561170">
        <w:rPr>
          <w:rFonts w:ascii="Bookman Old Style" w:hAnsi="Bookman Old Style"/>
          <w:lang w:val="es-AR"/>
        </w:rPr>
        <w:t xml:space="preserve"> acreditar la clandestinidad para probar el</w:t>
      </w:r>
      <w:r>
        <w:rPr>
          <w:rFonts w:ascii="Bookman Old Style" w:hAnsi="Bookman Old Style"/>
          <w:lang w:val="es-AR"/>
        </w:rPr>
        <w:t xml:space="preserve"> </w:t>
      </w:r>
      <w:r w:rsidRPr="00561170">
        <w:rPr>
          <w:rFonts w:ascii="Bookman Old Style" w:hAnsi="Bookman Old Style"/>
          <w:lang w:val="es-AR"/>
        </w:rPr>
        <w:t xml:space="preserve">agravio ambiental. </w:t>
      </w:r>
      <w:r w:rsidR="00015EA3">
        <w:rPr>
          <w:rFonts w:ascii="Bookman Old Style" w:hAnsi="Bookman Old Style"/>
          <w:lang w:val="es-AR"/>
        </w:rPr>
        <w:t>En suma, se debe probar</w:t>
      </w:r>
      <w:r w:rsidRPr="00561170">
        <w:rPr>
          <w:rFonts w:ascii="Bookman Old Style" w:hAnsi="Bookman Old Style"/>
          <w:lang w:val="es-AR"/>
        </w:rPr>
        <w:t xml:space="preserve"> la obligación de poseer </w:t>
      </w:r>
      <w:r>
        <w:rPr>
          <w:rFonts w:ascii="Bookman Old Style" w:hAnsi="Bookman Old Style"/>
          <w:lang w:val="es-AR"/>
        </w:rPr>
        <w:t>DECLARACIÓN DE IMPACTO AMBIENTAL (</w:t>
      </w:r>
      <w:r w:rsidRPr="00561170">
        <w:rPr>
          <w:rFonts w:ascii="Bookman Old Style" w:hAnsi="Bookman Old Style"/>
          <w:lang w:val="es-AR"/>
        </w:rPr>
        <w:t>DIA</w:t>
      </w:r>
      <w:r>
        <w:rPr>
          <w:rFonts w:ascii="Bookman Old Style" w:hAnsi="Bookman Old Style"/>
          <w:lang w:val="es-AR"/>
        </w:rPr>
        <w:t xml:space="preserve">) </w:t>
      </w:r>
      <w:r w:rsidRPr="00561170">
        <w:rPr>
          <w:rFonts w:ascii="Bookman Old Style" w:hAnsi="Bookman Old Style"/>
          <w:lang w:val="es-AR"/>
        </w:rPr>
        <w:t>autorizante, la no existencia de ésta</w:t>
      </w:r>
      <w:r w:rsidR="00015EA3">
        <w:rPr>
          <w:rFonts w:ascii="Bookman Old Style" w:hAnsi="Bookman Old Style"/>
          <w:lang w:val="es-AR"/>
        </w:rPr>
        <w:t xml:space="preserve"> </w:t>
      </w:r>
      <w:r w:rsidRPr="00561170">
        <w:rPr>
          <w:rFonts w:ascii="Bookman Old Style" w:hAnsi="Bookman Old Style"/>
          <w:lang w:val="es-AR"/>
        </w:rPr>
        <w:t>y</w:t>
      </w:r>
      <w:r w:rsidR="00015EA3">
        <w:rPr>
          <w:rFonts w:ascii="Bookman Old Style" w:hAnsi="Bookman Old Style"/>
          <w:lang w:val="es-AR"/>
        </w:rPr>
        <w:t>,</w:t>
      </w:r>
      <w:r w:rsidRPr="00561170">
        <w:rPr>
          <w:rFonts w:ascii="Bookman Old Style" w:hAnsi="Bookman Old Style"/>
          <w:lang w:val="es-AR"/>
        </w:rPr>
        <w:t xml:space="preserve"> el </w:t>
      </w:r>
      <w:r w:rsidR="00015EA3">
        <w:rPr>
          <w:rFonts w:ascii="Bookman Old Style" w:hAnsi="Bookman Old Style"/>
          <w:lang w:val="es-AR"/>
        </w:rPr>
        <w:t xml:space="preserve">efectivo </w:t>
      </w:r>
      <w:r w:rsidRPr="00561170">
        <w:rPr>
          <w:rFonts w:ascii="Bookman Old Style" w:hAnsi="Bookman Old Style"/>
          <w:lang w:val="es-AR"/>
        </w:rPr>
        <w:t>inicio de la ejecución del proyecto.</w:t>
      </w:r>
      <w:r w:rsidR="00015EA3">
        <w:rPr>
          <w:rFonts w:ascii="Bookman Old Style" w:hAnsi="Bookman Old Style"/>
          <w:lang w:val="es-AR"/>
        </w:rPr>
        <w:t xml:space="preserve"> </w:t>
      </w:r>
      <w:r w:rsidRPr="00561170">
        <w:rPr>
          <w:rFonts w:ascii="Bookman Old Style" w:hAnsi="Bookman Old Style"/>
          <w:lang w:val="es-AR"/>
        </w:rPr>
        <w:t xml:space="preserve">Este es el punto </w:t>
      </w:r>
      <w:r w:rsidR="00015EA3" w:rsidRPr="00561170">
        <w:rPr>
          <w:rFonts w:ascii="Bookman Old Style" w:hAnsi="Bookman Old Style"/>
          <w:lang w:val="es-AR"/>
        </w:rPr>
        <w:t>fundamental</w:t>
      </w:r>
      <w:r w:rsidRPr="00561170">
        <w:rPr>
          <w:rFonts w:ascii="Bookman Old Style" w:hAnsi="Bookman Old Style"/>
          <w:lang w:val="es-AR"/>
        </w:rPr>
        <w:t xml:space="preserve"> de la sentencia, pues es aquí donde la Corte establece ésta</w:t>
      </w:r>
      <w:r>
        <w:rPr>
          <w:rFonts w:ascii="Bookman Old Style" w:hAnsi="Bookman Old Style"/>
          <w:lang w:val="es-AR"/>
        </w:rPr>
        <w:t xml:space="preserve"> </w:t>
      </w:r>
      <w:r w:rsidRPr="00561170">
        <w:rPr>
          <w:rFonts w:ascii="Bookman Old Style" w:hAnsi="Bookman Old Style"/>
          <w:lang w:val="es-AR"/>
        </w:rPr>
        <w:t>nue</w:t>
      </w:r>
      <w:r>
        <w:rPr>
          <w:rFonts w:ascii="Bookman Old Style" w:hAnsi="Bookman Old Style"/>
          <w:lang w:val="es-AR"/>
        </w:rPr>
        <w:t>va tipología procesal, que la doctrina ha</w:t>
      </w:r>
      <w:r w:rsidRPr="00561170">
        <w:rPr>
          <w:rFonts w:ascii="Bookman Old Style" w:hAnsi="Bookman Old Style"/>
          <w:lang w:val="es-AR"/>
        </w:rPr>
        <w:t xml:space="preserve"> denominado </w:t>
      </w:r>
      <w:r w:rsidRPr="00740134">
        <w:rPr>
          <w:rFonts w:ascii="Bookman Old Style" w:hAnsi="Bookman Old Style"/>
          <w:b/>
          <w:i/>
          <w:iCs/>
          <w:lang w:val="es-AR"/>
        </w:rPr>
        <w:t>acción de cese (o suspensión) de proyectos que se hayan iniciado en su ejecución sin proceso preventivo ambiental</w:t>
      </w:r>
      <w:r w:rsidRPr="00561170">
        <w:rPr>
          <w:rFonts w:ascii="Bookman Old Style" w:hAnsi="Bookman Old Style"/>
          <w:i/>
          <w:iCs/>
          <w:lang w:val="es-AR"/>
        </w:rPr>
        <w:t xml:space="preserve">. </w:t>
      </w:r>
      <w:r w:rsidRPr="00561170">
        <w:rPr>
          <w:rFonts w:ascii="Bookman Old Style" w:hAnsi="Bookman Old Style"/>
          <w:lang w:val="es-AR"/>
        </w:rPr>
        <w:t>En ella se delinea su principal</w:t>
      </w:r>
      <w:r>
        <w:rPr>
          <w:rFonts w:ascii="Bookman Old Style" w:hAnsi="Bookman Old Style"/>
          <w:lang w:val="es-AR"/>
        </w:rPr>
        <w:t xml:space="preserve"> </w:t>
      </w:r>
      <w:r w:rsidRPr="00561170">
        <w:rPr>
          <w:rFonts w:ascii="Bookman Old Style" w:hAnsi="Bookman Old Style"/>
          <w:lang w:val="es-AR"/>
        </w:rPr>
        <w:t>característica: la derogación de los requisitos comunes a todas las medidas cautelares y su</w:t>
      </w:r>
      <w:r>
        <w:rPr>
          <w:rFonts w:ascii="Bookman Old Style" w:hAnsi="Bookman Old Style"/>
          <w:lang w:val="es-AR"/>
        </w:rPr>
        <w:t xml:space="preserve"> </w:t>
      </w:r>
      <w:r w:rsidRPr="00561170">
        <w:rPr>
          <w:rFonts w:ascii="Bookman Old Style" w:hAnsi="Bookman Old Style"/>
          <w:lang w:val="es-AR"/>
        </w:rPr>
        <w:t>mutación por los que acabamos de enumerar.</w:t>
      </w:r>
    </w:p>
    <w:p w:rsidR="005C0028" w:rsidRPr="0013097A" w:rsidRDefault="005C0028" w:rsidP="005C0028">
      <w:pPr>
        <w:spacing w:after="0" w:line="360" w:lineRule="auto"/>
        <w:ind w:firstLine="2127"/>
        <w:jc w:val="both"/>
        <w:rPr>
          <w:rFonts w:ascii="Bookman Old Style" w:hAnsi="Bookman Old Style"/>
          <w:lang w:val="es-AR"/>
        </w:rPr>
      </w:pPr>
      <w:r w:rsidRPr="00561170">
        <w:rPr>
          <w:rFonts w:ascii="Bookman Old Style" w:hAnsi="Bookman Old Style"/>
          <w:lang w:val="es-AR"/>
        </w:rPr>
        <w:t>· En</w:t>
      </w:r>
      <w:r w:rsidR="00015EA3">
        <w:rPr>
          <w:rFonts w:ascii="Bookman Old Style" w:hAnsi="Bookman Old Style"/>
          <w:lang w:val="es-AR"/>
        </w:rPr>
        <w:t xml:space="preserve"> relación a la cuestión procesal,</w:t>
      </w:r>
      <w:r>
        <w:rPr>
          <w:rFonts w:ascii="Bookman Old Style" w:hAnsi="Bookman Old Style"/>
          <w:lang w:val="es-AR"/>
        </w:rPr>
        <w:t xml:space="preserve"> </w:t>
      </w:r>
      <w:r w:rsidR="00015EA3">
        <w:rPr>
          <w:rFonts w:ascii="Bookman Old Style" w:hAnsi="Bookman Old Style"/>
          <w:lang w:val="es-AR"/>
        </w:rPr>
        <w:t xml:space="preserve">en el </w:t>
      </w:r>
      <w:r w:rsidR="0013097A">
        <w:rPr>
          <w:rFonts w:ascii="Bookman Old Style" w:hAnsi="Bookman Old Style"/>
          <w:lang w:val="es-AR"/>
        </w:rPr>
        <w:t>“</w:t>
      </w:r>
      <w:r w:rsidR="00015EA3">
        <w:rPr>
          <w:rFonts w:ascii="Bookman Old Style" w:hAnsi="Bookman Old Style"/>
          <w:lang w:val="es-AR"/>
        </w:rPr>
        <w:t>in fine</w:t>
      </w:r>
      <w:r w:rsidR="0013097A">
        <w:rPr>
          <w:rFonts w:ascii="Bookman Old Style" w:hAnsi="Bookman Old Style"/>
          <w:lang w:val="es-AR"/>
        </w:rPr>
        <w:t>”</w:t>
      </w:r>
      <w:r w:rsidR="00015EA3">
        <w:rPr>
          <w:rFonts w:ascii="Bookman Old Style" w:hAnsi="Bookman Old Style"/>
          <w:lang w:val="es-AR"/>
        </w:rPr>
        <w:t xml:space="preserve"> de la sentencia</w:t>
      </w:r>
      <w:r w:rsidR="0013097A">
        <w:rPr>
          <w:rFonts w:ascii="Bookman Old Style" w:hAnsi="Bookman Old Style"/>
          <w:lang w:val="es-AR"/>
        </w:rPr>
        <w:t>,</w:t>
      </w:r>
      <w:r w:rsidR="00015EA3">
        <w:rPr>
          <w:rFonts w:ascii="Bookman Old Style" w:hAnsi="Bookman Old Style"/>
          <w:lang w:val="es-AR"/>
        </w:rPr>
        <w:t xml:space="preserve"> el máximo</w:t>
      </w:r>
      <w:r w:rsidRPr="00561170">
        <w:rPr>
          <w:rFonts w:ascii="Bookman Old Style" w:hAnsi="Bookman Old Style"/>
          <w:lang w:val="es-AR"/>
        </w:rPr>
        <w:t xml:space="preserve"> Tribunal</w:t>
      </w:r>
      <w:r w:rsidR="0013097A">
        <w:rPr>
          <w:rFonts w:ascii="Bookman Old Style" w:hAnsi="Bookman Old Style"/>
          <w:lang w:val="es-AR"/>
        </w:rPr>
        <w:t xml:space="preserve"> </w:t>
      </w:r>
      <w:r w:rsidRPr="00561170">
        <w:rPr>
          <w:rFonts w:ascii="Bookman Old Style" w:hAnsi="Bookman Old Style"/>
          <w:lang w:val="es-AR"/>
        </w:rPr>
        <w:t>destaca</w:t>
      </w:r>
      <w:r w:rsidR="0013097A">
        <w:rPr>
          <w:rFonts w:ascii="Bookman Old Style" w:hAnsi="Bookman Old Style"/>
          <w:lang w:val="es-AR"/>
        </w:rPr>
        <w:t xml:space="preserve"> lúcidamente</w:t>
      </w:r>
      <w:r>
        <w:rPr>
          <w:rFonts w:ascii="Bookman Old Style" w:hAnsi="Bookman Old Style"/>
          <w:lang w:val="es-AR"/>
        </w:rPr>
        <w:t xml:space="preserve"> </w:t>
      </w:r>
      <w:r w:rsidRPr="00561170">
        <w:rPr>
          <w:rFonts w:ascii="Bookman Old Style" w:hAnsi="Bookman Old Style"/>
          <w:lang w:val="es-AR"/>
        </w:rPr>
        <w:t xml:space="preserve">la naturaleza de puro derecho de </w:t>
      </w:r>
      <w:r w:rsidR="0013097A" w:rsidRPr="00561170">
        <w:rPr>
          <w:rFonts w:ascii="Bookman Old Style" w:hAnsi="Bookman Old Style"/>
          <w:lang w:val="es-AR"/>
        </w:rPr>
        <w:t>este</w:t>
      </w:r>
      <w:r w:rsidRPr="00561170">
        <w:rPr>
          <w:rFonts w:ascii="Bookman Old Style" w:hAnsi="Bookman Old Style"/>
          <w:lang w:val="es-AR"/>
        </w:rPr>
        <w:t xml:space="preserve"> tipo de procesos. </w:t>
      </w:r>
      <w:proofErr w:type="spellStart"/>
      <w:r w:rsidR="0013097A">
        <w:rPr>
          <w:rFonts w:ascii="Bookman Old Style" w:hAnsi="Bookman Old Style"/>
          <w:lang w:val="es-AR"/>
        </w:rPr>
        <w:t>Allì</w:t>
      </w:r>
      <w:proofErr w:type="spellEnd"/>
      <w:r w:rsidR="0013097A">
        <w:rPr>
          <w:rFonts w:ascii="Bookman Old Style" w:hAnsi="Bookman Old Style"/>
          <w:lang w:val="es-AR"/>
        </w:rPr>
        <w:t xml:space="preserve"> dispone que </w:t>
      </w:r>
      <w:r w:rsidRPr="00561170">
        <w:rPr>
          <w:rFonts w:ascii="Bookman Old Style" w:hAnsi="Bookman Old Style"/>
          <w:lang w:val="es-AR"/>
        </w:rPr>
        <w:t>éste tipo de peticiones tienen ésta característica porque – y lo</w:t>
      </w:r>
      <w:r w:rsidR="0013097A">
        <w:rPr>
          <w:rFonts w:ascii="Bookman Old Style" w:hAnsi="Bookman Old Style"/>
          <w:lang w:val="es-AR"/>
        </w:rPr>
        <w:t xml:space="preserve"> establece</w:t>
      </w:r>
      <w:r w:rsidRPr="00561170">
        <w:rPr>
          <w:rFonts w:ascii="Bookman Old Style" w:hAnsi="Bookman Old Style"/>
          <w:lang w:val="es-AR"/>
        </w:rPr>
        <w:t xml:space="preserve"> expresamente– “</w:t>
      </w:r>
      <w:r w:rsidRPr="0013097A">
        <w:rPr>
          <w:rFonts w:ascii="Bookman Old Style" w:hAnsi="Bookman Old Style"/>
          <w:i/>
          <w:lang w:val="es-AR"/>
        </w:rPr>
        <w:t>bastaba con examinar si, de conformidad con las normas invocadas por la actora, la autorización y prórroga de la actividad en cuestión requería una evaluación previa de impacto ambiental y social, y si se había respetado lo dispuesto por el art. 75 inc. 17 de la Constitución Nacional</w:t>
      </w:r>
      <w:r w:rsidRPr="00561170">
        <w:rPr>
          <w:rFonts w:ascii="Bookman Old Style" w:hAnsi="Bookman Old Style"/>
          <w:lang w:val="es-AR"/>
        </w:rPr>
        <w:t xml:space="preserve">”. </w:t>
      </w:r>
      <w:r w:rsidR="0013097A" w:rsidRPr="0013097A">
        <w:rPr>
          <w:rFonts w:ascii="Bookman Old Style" w:hAnsi="Bookman Old Style"/>
          <w:lang w:val="es-AR"/>
        </w:rPr>
        <w:t>L</w:t>
      </w:r>
      <w:r w:rsidRPr="0013097A">
        <w:rPr>
          <w:rFonts w:ascii="Bookman Old Style" w:hAnsi="Bookman Old Style"/>
          <w:lang w:val="es-AR"/>
        </w:rPr>
        <w:t xml:space="preserve">a Corte en </w:t>
      </w:r>
      <w:r w:rsidR="0013097A" w:rsidRPr="0013097A">
        <w:rPr>
          <w:rFonts w:ascii="Bookman Old Style" w:hAnsi="Bookman Old Style"/>
          <w:lang w:val="es-AR"/>
        </w:rPr>
        <w:t>estos</w:t>
      </w:r>
      <w:r w:rsidRPr="0013097A">
        <w:rPr>
          <w:rFonts w:ascii="Bookman Old Style" w:hAnsi="Bookman Old Style"/>
          <w:lang w:val="es-AR"/>
        </w:rPr>
        <w:t xml:space="preserve"> casos entiende que lo principal </w:t>
      </w:r>
      <w:r w:rsidR="0013097A" w:rsidRPr="0013097A">
        <w:rPr>
          <w:rFonts w:ascii="Bookman Old Style" w:hAnsi="Bookman Old Style"/>
          <w:lang w:val="es-AR"/>
        </w:rPr>
        <w:t>consiste en</w:t>
      </w:r>
      <w:r w:rsidRPr="0013097A">
        <w:rPr>
          <w:rFonts w:ascii="Bookman Old Style" w:hAnsi="Bookman Old Style"/>
          <w:lang w:val="es-AR"/>
        </w:rPr>
        <w:t xml:space="preserve"> averiguar si la actividad posee autorización o no. Si no se tiene</w:t>
      </w:r>
      <w:r w:rsidR="0013097A" w:rsidRPr="0013097A">
        <w:rPr>
          <w:rFonts w:ascii="Bookman Old Style" w:hAnsi="Bookman Old Style"/>
          <w:lang w:val="es-AR"/>
        </w:rPr>
        <w:t xml:space="preserve"> dicha autorización</w:t>
      </w:r>
      <w:r w:rsidRPr="0013097A">
        <w:rPr>
          <w:rFonts w:ascii="Bookman Old Style" w:hAnsi="Bookman Old Style"/>
          <w:lang w:val="es-AR"/>
        </w:rPr>
        <w:t xml:space="preserve">, según </w:t>
      </w:r>
      <w:r w:rsidR="0013097A">
        <w:rPr>
          <w:rFonts w:ascii="Bookman Old Style" w:hAnsi="Bookman Old Style"/>
          <w:lang w:val="es-AR"/>
        </w:rPr>
        <w:t xml:space="preserve">esta </w:t>
      </w:r>
      <w:r w:rsidRPr="0013097A">
        <w:rPr>
          <w:rFonts w:ascii="Bookman Old Style" w:hAnsi="Bookman Old Style"/>
          <w:lang w:val="es-AR"/>
        </w:rPr>
        <w:t>doctrina de la Corte</w:t>
      </w:r>
      <w:r w:rsidR="0013097A" w:rsidRPr="0013097A">
        <w:rPr>
          <w:rFonts w:ascii="Bookman Old Style" w:hAnsi="Bookman Old Style"/>
          <w:lang w:val="es-AR"/>
        </w:rPr>
        <w:t>,</w:t>
      </w:r>
      <w:r w:rsidRPr="0013097A">
        <w:rPr>
          <w:rFonts w:ascii="Bookman Old Style" w:hAnsi="Bookman Old Style"/>
          <w:lang w:val="es-AR"/>
        </w:rPr>
        <w:t xml:space="preserve"> se debe ordenar la suspensión sin necesidad de más pruebas.</w:t>
      </w:r>
      <w:r w:rsidR="0013097A">
        <w:rPr>
          <w:rFonts w:ascii="Bookman Old Style" w:hAnsi="Bookman Old Style"/>
          <w:lang w:val="es-AR"/>
        </w:rPr>
        <w:t xml:space="preserve"> E</w:t>
      </w:r>
      <w:r w:rsidR="0013097A" w:rsidRPr="0013097A">
        <w:rPr>
          <w:rFonts w:ascii="Bookman Old Style" w:hAnsi="Bookman Old Style"/>
          <w:lang w:val="es-AR"/>
        </w:rPr>
        <w:t xml:space="preserve">sto implica que el amparo es el proceso más idóneo porque al ser tan escasa la actividad probatoria será más sencillo para los </w:t>
      </w:r>
      <w:r w:rsidR="0013097A">
        <w:rPr>
          <w:rFonts w:ascii="Bookman Old Style" w:hAnsi="Bookman Old Style"/>
          <w:lang w:val="es-AR"/>
        </w:rPr>
        <w:t>J</w:t>
      </w:r>
      <w:r w:rsidR="0013097A" w:rsidRPr="0013097A">
        <w:rPr>
          <w:rFonts w:ascii="Bookman Old Style" w:hAnsi="Bookman Old Style"/>
          <w:lang w:val="es-AR"/>
        </w:rPr>
        <w:t>ueces tener por acreditados los extremos de la petición al momento de presentarse.</w:t>
      </w:r>
    </w:p>
    <w:p w:rsidR="005C0028" w:rsidRPr="00561170" w:rsidRDefault="005C0028" w:rsidP="005C0028">
      <w:pPr>
        <w:spacing w:after="0" w:line="360" w:lineRule="auto"/>
        <w:ind w:firstLine="2127"/>
        <w:jc w:val="both"/>
        <w:rPr>
          <w:rFonts w:ascii="Bookman Old Style" w:hAnsi="Bookman Old Style"/>
          <w:lang w:val="es-AR"/>
        </w:rPr>
      </w:pPr>
      <w:r w:rsidRPr="00561170">
        <w:rPr>
          <w:rFonts w:ascii="Bookman Old Style" w:hAnsi="Bookman Old Style"/>
          <w:lang w:val="es-AR"/>
        </w:rPr>
        <w:t>· La idoneidad del medio procesal deriva de que para la Corte en éste ámbito –la</w:t>
      </w:r>
      <w:r>
        <w:rPr>
          <w:rFonts w:ascii="Bookman Old Style" w:hAnsi="Bookman Old Style"/>
          <w:lang w:val="es-AR"/>
        </w:rPr>
        <w:t xml:space="preserve"> </w:t>
      </w:r>
      <w:r w:rsidRPr="00561170">
        <w:rPr>
          <w:rFonts w:ascii="Bookman Old Style" w:hAnsi="Bookman Old Style"/>
          <w:lang w:val="es-AR"/>
        </w:rPr>
        <w:t>prevención ambiental– resulta operativa una inversión de la carga de la prueba, pues será</w:t>
      </w:r>
      <w:r>
        <w:rPr>
          <w:rFonts w:ascii="Bookman Old Style" w:hAnsi="Bookman Old Style"/>
          <w:lang w:val="es-AR"/>
        </w:rPr>
        <w:t xml:space="preserve"> </w:t>
      </w:r>
      <w:r w:rsidRPr="00561170">
        <w:rPr>
          <w:rFonts w:ascii="Bookman Old Style" w:hAnsi="Bookman Old Style"/>
          <w:lang w:val="es-AR"/>
        </w:rPr>
        <w:t xml:space="preserve">el potencial </w:t>
      </w:r>
      <w:r w:rsidR="00B233BD">
        <w:rPr>
          <w:rFonts w:ascii="Bookman Old Style" w:hAnsi="Bookman Old Style"/>
          <w:lang w:val="es-AR"/>
        </w:rPr>
        <w:t xml:space="preserve">generador de </w:t>
      </w:r>
      <w:proofErr w:type="spellStart"/>
      <w:r w:rsidRPr="00561170">
        <w:rPr>
          <w:rFonts w:ascii="Bookman Old Style" w:hAnsi="Bookman Old Style"/>
          <w:lang w:val="es-AR"/>
        </w:rPr>
        <w:t>poluente</w:t>
      </w:r>
      <w:r w:rsidR="00B233BD">
        <w:rPr>
          <w:rFonts w:ascii="Bookman Old Style" w:hAnsi="Bookman Old Style"/>
          <w:lang w:val="es-AR"/>
        </w:rPr>
        <w:t>s</w:t>
      </w:r>
      <w:proofErr w:type="spellEnd"/>
      <w:r w:rsidRPr="00561170">
        <w:rPr>
          <w:rFonts w:ascii="Bookman Old Style" w:hAnsi="Bookman Old Style"/>
          <w:lang w:val="es-AR"/>
        </w:rPr>
        <w:t xml:space="preserve"> quien deberá de manera previa (en el ámbito administrativo)</w:t>
      </w:r>
      <w:r w:rsidR="00B233BD">
        <w:rPr>
          <w:rFonts w:ascii="Bookman Old Style" w:hAnsi="Bookman Old Style"/>
          <w:lang w:val="es-AR"/>
        </w:rPr>
        <w:t xml:space="preserve"> al desarrollo de la actividad,</w:t>
      </w:r>
      <w:r w:rsidRPr="00561170">
        <w:rPr>
          <w:rFonts w:ascii="Bookman Old Style" w:hAnsi="Bookman Old Style"/>
          <w:lang w:val="es-AR"/>
        </w:rPr>
        <w:t xml:space="preserve"> probar</w:t>
      </w:r>
      <w:r>
        <w:rPr>
          <w:rFonts w:ascii="Bookman Old Style" w:hAnsi="Bookman Old Style"/>
          <w:lang w:val="es-AR"/>
        </w:rPr>
        <w:t xml:space="preserve"> </w:t>
      </w:r>
      <w:r w:rsidRPr="00561170">
        <w:rPr>
          <w:rFonts w:ascii="Bookman Old Style" w:hAnsi="Bookman Old Style"/>
          <w:lang w:val="es-AR"/>
        </w:rPr>
        <w:t>su inocuidad.</w:t>
      </w:r>
    </w:p>
    <w:p w:rsidR="00E53DEF" w:rsidRPr="00FF65F3" w:rsidRDefault="00E53DEF" w:rsidP="00FF65F3">
      <w:pPr>
        <w:spacing w:after="0" w:line="360" w:lineRule="auto"/>
        <w:ind w:firstLine="2127"/>
        <w:jc w:val="both"/>
        <w:rPr>
          <w:rFonts w:ascii="Bookman Old Style" w:eastAsia="Times New Roman" w:hAnsi="Bookman Old Style"/>
        </w:rPr>
      </w:pPr>
    </w:p>
    <w:p w:rsidR="004600FB" w:rsidRPr="00FF65F3" w:rsidRDefault="00EB79A5" w:rsidP="00FF65F3">
      <w:pPr>
        <w:spacing w:after="0" w:line="360" w:lineRule="auto"/>
        <w:ind w:firstLine="2127"/>
        <w:jc w:val="both"/>
        <w:rPr>
          <w:rFonts w:ascii="Bookman Old Style" w:eastAsia="Times New Roman" w:hAnsi="Bookman Old Style"/>
          <w:u w:val="single"/>
        </w:rPr>
      </w:pPr>
      <w:r w:rsidRPr="00FF65F3">
        <w:rPr>
          <w:rFonts w:ascii="Bookman Old Style" w:eastAsia="Times New Roman" w:hAnsi="Bookman Old Style"/>
          <w:b/>
          <w:bCs/>
          <w:u w:val="single"/>
        </w:rPr>
        <w:t>V</w:t>
      </w:r>
      <w:r w:rsidR="005D1238">
        <w:rPr>
          <w:rFonts w:ascii="Bookman Old Style" w:eastAsia="Times New Roman" w:hAnsi="Bookman Old Style"/>
          <w:b/>
          <w:bCs/>
          <w:u w:val="single"/>
        </w:rPr>
        <w:t>I</w:t>
      </w:r>
      <w:r w:rsidR="004600FB" w:rsidRPr="00FF65F3">
        <w:rPr>
          <w:rFonts w:ascii="Bookman Old Style" w:eastAsia="Times New Roman" w:hAnsi="Bookman Old Style"/>
          <w:b/>
          <w:bCs/>
          <w:u w:val="single"/>
        </w:rPr>
        <w:t>. PRUEBA.</w:t>
      </w:r>
    </w:p>
    <w:p w:rsidR="00D14091" w:rsidRPr="00FF65F3" w:rsidRDefault="009E17A4" w:rsidP="00FF65F3">
      <w:pPr>
        <w:spacing w:after="0" w:line="360" w:lineRule="auto"/>
        <w:ind w:firstLine="2127"/>
        <w:jc w:val="both"/>
        <w:rPr>
          <w:rFonts w:ascii="Bookman Old Style" w:eastAsia="Times New Roman" w:hAnsi="Bookman Old Style"/>
          <w:bCs/>
        </w:rPr>
      </w:pPr>
      <w:r w:rsidRPr="00FF65F3">
        <w:rPr>
          <w:rFonts w:ascii="Bookman Old Style" w:eastAsia="Times New Roman" w:hAnsi="Bookman Old Style"/>
          <w:bCs/>
        </w:rPr>
        <w:t>Se adjunta y ofrece los siguientes medios probatorios a los fines de acreditar los extremos expuestos:</w:t>
      </w:r>
    </w:p>
    <w:p w:rsidR="009E17A4" w:rsidRPr="00FF65F3" w:rsidRDefault="00107897" w:rsidP="00FF65F3">
      <w:pPr>
        <w:spacing w:after="0" w:line="360" w:lineRule="auto"/>
        <w:ind w:firstLine="2127"/>
        <w:jc w:val="both"/>
        <w:rPr>
          <w:rFonts w:ascii="Bookman Old Style" w:eastAsia="Times New Roman" w:hAnsi="Bookman Old Style"/>
          <w:b/>
          <w:bCs/>
        </w:rPr>
      </w:pPr>
      <w:r w:rsidRPr="00FF65F3">
        <w:rPr>
          <w:rFonts w:ascii="Bookman Old Style" w:eastAsia="Times New Roman" w:hAnsi="Bookman Old Style"/>
          <w:b/>
          <w:bCs/>
        </w:rPr>
        <w:t>A1</w:t>
      </w:r>
      <w:r w:rsidR="009E17A4" w:rsidRPr="00FF65F3">
        <w:rPr>
          <w:rFonts w:ascii="Bookman Old Style" w:eastAsia="Times New Roman" w:hAnsi="Bookman Old Style"/>
          <w:b/>
          <w:bCs/>
        </w:rPr>
        <w:t>) DOCUMENTAL:</w:t>
      </w:r>
    </w:p>
    <w:p w:rsidR="00D14091" w:rsidRPr="00FF65F3" w:rsidRDefault="001D1A85" w:rsidP="00FF65F3">
      <w:pPr>
        <w:spacing w:after="0" w:line="360" w:lineRule="auto"/>
        <w:ind w:firstLine="2127"/>
        <w:jc w:val="both"/>
        <w:rPr>
          <w:rFonts w:ascii="Bookman Old Style" w:eastAsia="Times New Roman" w:hAnsi="Bookman Old Style"/>
          <w:bCs/>
        </w:rPr>
      </w:pPr>
      <w:r w:rsidRPr="00FF65F3">
        <w:rPr>
          <w:rFonts w:ascii="Bookman Old Style" w:eastAsia="Times New Roman" w:hAnsi="Bookman Old Style"/>
          <w:bCs/>
        </w:rPr>
        <w:t>1.</w:t>
      </w:r>
      <w:r w:rsidR="002D1F5D" w:rsidRPr="00FF65F3">
        <w:rPr>
          <w:rFonts w:ascii="Bookman Old Style" w:eastAsia="Times New Roman" w:hAnsi="Bookman Old Style"/>
          <w:bCs/>
        </w:rPr>
        <w:t xml:space="preserve"> </w:t>
      </w:r>
      <w:r w:rsidRPr="00FF65F3">
        <w:rPr>
          <w:rFonts w:ascii="Bookman Old Style" w:eastAsia="Times New Roman" w:hAnsi="Bookman Old Style"/>
          <w:bCs/>
        </w:rPr>
        <w:t xml:space="preserve">Copia simple del </w:t>
      </w:r>
      <w:r w:rsidRPr="00FF65F3">
        <w:rPr>
          <w:rFonts w:ascii="Bookman Old Style" w:eastAsia="Times New Roman" w:hAnsi="Bookman Old Style"/>
        </w:rPr>
        <w:t>Boletín Oficial de fecha 28 de Mayo de 2018, que publicó la Resolución N° 22/18-MAyCDS, vigente en la actualidad</w:t>
      </w:r>
      <w:r w:rsidR="002D1F5D" w:rsidRPr="00FF65F3">
        <w:rPr>
          <w:rFonts w:ascii="Bookman Old Style" w:eastAsia="Times New Roman" w:hAnsi="Bookman Old Style"/>
          <w:bCs/>
        </w:rPr>
        <w:t>.</w:t>
      </w:r>
    </w:p>
    <w:p w:rsidR="00D14091" w:rsidRDefault="001D1A85" w:rsidP="00FF65F3">
      <w:pPr>
        <w:spacing w:after="0" w:line="360" w:lineRule="auto"/>
        <w:ind w:firstLine="2127"/>
        <w:jc w:val="both"/>
        <w:rPr>
          <w:rFonts w:ascii="Bookman Old Style" w:eastAsia="Times New Roman" w:hAnsi="Bookman Old Style"/>
          <w:bCs/>
        </w:rPr>
      </w:pPr>
      <w:r w:rsidRPr="00FF65F3">
        <w:rPr>
          <w:rFonts w:ascii="Bookman Old Style" w:eastAsia="Times New Roman" w:hAnsi="Bookman Old Style"/>
          <w:bCs/>
        </w:rPr>
        <w:t xml:space="preserve">2. Copia simple de la </w:t>
      </w:r>
      <w:r w:rsidRPr="00FF65F3">
        <w:rPr>
          <w:rFonts w:ascii="Bookman Old Style" w:eastAsia="Times New Roman" w:hAnsi="Bookman Old Style"/>
        </w:rPr>
        <w:t xml:space="preserve">nota del diario jornada, de fecha 11/12/2017, “Cruce entre Provincia y Trelew por el volcado de residuos pesqueros en la ruta a </w:t>
      </w:r>
      <w:proofErr w:type="spellStart"/>
      <w:r w:rsidRPr="00FF65F3">
        <w:rPr>
          <w:rFonts w:ascii="Bookman Old Style" w:eastAsia="Times New Roman" w:hAnsi="Bookman Old Style"/>
        </w:rPr>
        <w:t>Tombo</w:t>
      </w:r>
      <w:proofErr w:type="spellEnd"/>
      <w:r w:rsidRPr="00FF65F3">
        <w:rPr>
          <w:rFonts w:ascii="Bookman Old Style" w:eastAsia="Times New Roman" w:hAnsi="Bookman Old Style"/>
        </w:rPr>
        <w:t>”</w:t>
      </w:r>
      <w:r w:rsidRPr="00FF65F3">
        <w:rPr>
          <w:rFonts w:ascii="Bookman Old Style" w:eastAsia="Times New Roman" w:hAnsi="Bookman Old Style"/>
          <w:bCs/>
        </w:rPr>
        <w:t>.</w:t>
      </w:r>
    </w:p>
    <w:p w:rsidR="00DE4B7B" w:rsidRDefault="00DE4B7B" w:rsidP="00FF65F3">
      <w:pPr>
        <w:spacing w:after="0" w:line="360" w:lineRule="auto"/>
        <w:ind w:firstLine="2127"/>
        <w:jc w:val="both"/>
        <w:rPr>
          <w:rFonts w:ascii="Bookman Old Style" w:eastAsia="Times New Roman" w:hAnsi="Bookman Old Style"/>
          <w:bCs/>
        </w:rPr>
      </w:pPr>
      <w:r>
        <w:rPr>
          <w:rFonts w:ascii="Bookman Old Style" w:eastAsia="Times New Roman" w:hAnsi="Bookman Old Style"/>
          <w:bCs/>
        </w:rPr>
        <w:t xml:space="preserve">3. Copia simple del Dictamen N° 218/18-DGALyNA-MAyCDS y de Nota sin número, extraídas del portal </w:t>
      </w:r>
      <w:r w:rsidRPr="00DE4B7B">
        <w:rPr>
          <w:rFonts w:ascii="Bookman Old Style" w:eastAsia="Times New Roman" w:hAnsi="Bookman Old Style"/>
          <w:bCs/>
        </w:rPr>
        <w:t>cholilaonline.com</w:t>
      </w:r>
      <w:r>
        <w:rPr>
          <w:rFonts w:ascii="Bookman Old Style" w:eastAsia="Times New Roman" w:hAnsi="Bookman Old Style"/>
          <w:bCs/>
        </w:rPr>
        <w:t>.</w:t>
      </w:r>
    </w:p>
    <w:p w:rsidR="00136E1D" w:rsidRPr="00FF65F3" w:rsidRDefault="00136E1D" w:rsidP="00FF65F3">
      <w:pPr>
        <w:spacing w:after="0" w:line="360" w:lineRule="auto"/>
        <w:ind w:firstLine="2127"/>
        <w:jc w:val="both"/>
        <w:rPr>
          <w:rFonts w:ascii="Bookman Old Style" w:eastAsia="Times New Roman" w:hAnsi="Bookman Old Style"/>
          <w:bCs/>
        </w:rPr>
      </w:pPr>
      <w:r>
        <w:rPr>
          <w:rFonts w:ascii="Bookman Old Style" w:eastAsia="Times New Roman" w:hAnsi="Bookman Old Style"/>
          <w:bCs/>
        </w:rPr>
        <w:t>4.</w:t>
      </w:r>
      <w:r w:rsidRPr="00136E1D">
        <w:rPr>
          <w:rFonts w:ascii="Bookman Old Style" w:eastAsia="Times New Roman" w:hAnsi="Bookman Old Style"/>
        </w:rPr>
        <w:t xml:space="preserve"> </w:t>
      </w:r>
      <w:r>
        <w:rPr>
          <w:rFonts w:ascii="Bookman Old Style" w:eastAsia="Times New Roman" w:hAnsi="Bookman Old Style"/>
        </w:rPr>
        <w:t>Copia simple de la nota del Diario de Madryn, de fecha 09 de julio de 2018, “Las Pesqueras Capitalinas deberán instalar plantas de efluentes líquidos”.</w:t>
      </w:r>
    </w:p>
    <w:p w:rsidR="001D1A85" w:rsidRPr="00FF65F3" w:rsidRDefault="00107897" w:rsidP="00FF65F3">
      <w:pPr>
        <w:shd w:val="clear" w:color="auto" w:fill="FFFFFF"/>
        <w:spacing w:after="0" w:line="360" w:lineRule="auto"/>
        <w:ind w:firstLine="2126"/>
        <w:jc w:val="both"/>
        <w:rPr>
          <w:rFonts w:ascii="Bookman Old Style" w:eastAsia="Times New Roman" w:hAnsi="Bookman Old Style" w:cs="Calibri"/>
          <w:b/>
          <w:color w:val="000000"/>
        </w:rPr>
      </w:pPr>
      <w:r w:rsidRPr="00FF65F3">
        <w:rPr>
          <w:rFonts w:ascii="Bookman Old Style" w:eastAsia="Times New Roman" w:hAnsi="Bookman Old Style" w:cs="Calibri"/>
          <w:b/>
          <w:color w:val="000000"/>
        </w:rPr>
        <w:t>A2</w:t>
      </w:r>
      <w:r w:rsidR="001D1A85" w:rsidRPr="00FF65F3">
        <w:rPr>
          <w:rFonts w:ascii="Bookman Old Style" w:eastAsia="Times New Roman" w:hAnsi="Bookman Old Style" w:cs="Calibri"/>
          <w:b/>
          <w:color w:val="000000"/>
        </w:rPr>
        <w:t xml:space="preserve">) </w:t>
      </w:r>
      <w:r w:rsidRPr="00FF65F3">
        <w:rPr>
          <w:rFonts w:ascii="Bookman Old Style" w:eastAsia="Times New Roman" w:hAnsi="Bookman Old Style" w:cs="Calibri"/>
          <w:b/>
          <w:color w:val="000000"/>
        </w:rPr>
        <w:t>DOCUMENTAL EN PODER DE TERCEROS:</w:t>
      </w:r>
    </w:p>
    <w:p w:rsidR="001D1A85" w:rsidRPr="00FF65F3" w:rsidRDefault="001D1A85" w:rsidP="00FF65F3">
      <w:pPr>
        <w:spacing w:after="0" w:line="360" w:lineRule="auto"/>
        <w:ind w:firstLine="2127"/>
        <w:jc w:val="both"/>
        <w:rPr>
          <w:rFonts w:ascii="Bookman Old Style" w:eastAsia="Times New Roman" w:hAnsi="Bookman Old Style" w:cs="Calibri"/>
          <w:color w:val="000000"/>
        </w:rPr>
      </w:pPr>
      <w:r w:rsidRPr="00FF65F3">
        <w:rPr>
          <w:rFonts w:ascii="Bookman Old Style" w:eastAsia="Times New Roman" w:hAnsi="Bookman Old Style"/>
          <w:bCs/>
        </w:rPr>
        <w:t xml:space="preserve">1. Se intime al Ministerio de Ambiente y Control del Desarrollo Sustentable </w:t>
      </w:r>
      <w:r w:rsidRPr="00FF65F3">
        <w:rPr>
          <w:rFonts w:ascii="Bookman Old Style" w:eastAsia="Times New Roman" w:hAnsi="Bookman Old Style" w:cs="Calibri"/>
          <w:color w:val="000000"/>
        </w:rPr>
        <w:t>a acompañar</w:t>
      </w:r>
      <w:r w:rsidR="00107897" w:rsidRPr="00FF65F3">
        <w:rPr>
          <w:rFonts w:ascii="Bookman Old Style" w:eastAsia="Times New Roman" w:hAnsi="Bookman Old Style" w:cs="Calibri"/>
          <w:color w:val="000000"/>
        </w:rPr>
        <w:t xml:space="preserve"> Copia Certificada del Expediente N° 1313/17-MAyCDS caratulado “REF.DAP PROY RELLENO SANITARIO DE RESIDUOS ORGANICOS DE LA INDUSTRIA ALIMENTICIA ARCANTE SA” y del Expediente N° 358/18- </w:t>
      </w:r>
      <w:proofErr w:type="spellStart"/>
      <w:r w:rsidR="00107897" w:rsidRPr="00FF65F3">
        <w:rPr>
          <w:rFonts w:ascii="Bookman Old Style" w:eastAsia="Times New Roman" w:hAnsi="Bookman Old Style" w:cs="Calibri"/>
          <w:color w:val="000000"/>
        </w:rPr>
        <w:t>MAyCDS</w:t>
      </w:r>
      <w:proofErr w:type="spellEnd"/>
      <w:r w:rsidR="00107897" w:rsidRPr="00FF65F3">
        <w:rPr>
          <w:rFonts w:ascii="Bookman Old Style" w:eastAsia="Times New Roman" w:hAnsi="Bookman Old Style" w:cs="Calibri"/>
          <w:color w:val="000000"/>
        </w:rPr>
        <w:t xml:space="preserve"> caratulado “Residuos Orgánicos Industriales”.</w:t>
      </w:r>
    </w:p>
    <w:p w:rsidR="00107897" w:rsidRPr="00FF65F3" w:rsidRDefault="00107897"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cs="Calibri"/>
          <w:color w:val="000000"/>
        </w:rPr>
        <w:t>2.</w:t>
      </w:r>
      <w:r w:rsidRPr="00FF65F3">
        <w:rPr>
          <w:rFonts w:ascii="Bookman Old Style" w:eastAsia="Times New Roman" w:hAnsi="Bookman Old Style"/>
          <w:bCs/>
        </w:rPr>
        <w:t xml:space="preserve"> Se intime al Ministerio de Ambiente y Control del Desarrollo Sustentable </w:t>
      </w:r>
      <w:r w:rsidRPr="00FF65F3">
        <w:rPr>
          <w:rFonts w:ascii="Bookman Old Style" w:eastAsia="Times New Roman" w:hAnsi="Bookman Old Style" w:cs="Calibri"/>
          <w:color w:val="000000"/>
        </w:rPr>
        <w:t xml:space="preserve">a acompañar todas las Actas de Inspección efectuadas al predio que posee la firma ARCANTE S.A. </w:t>
      </w:r>
      <w:r w:rsidRPr="00FF65F3">
        <w:rPr>
          <w:rFonts w:ascii="Bookman Old Style" w:eastAsia="Times New Roman" w:hAnsi="Bookman Old Style"/>
        </w:rPr>
        <w:t xml:space="preserve">ubicado a 15 kilómetros de Trelew y con acceso desde Ruta 1, efectuadas por la Dirección General de Evaluación Ambiental y por la Dirección General Comarca </w:t>
      </w:r>
      <w:proofErr w:type="spellStart"/>
      <w:r w:rsidRPr="00FF65F3">
        <w:rPr>
          <w:rFonts w:ascii="Bookman Old Style" w:eastAsia="Times New Roman" w:hAnsi="Bookman Old Style"/>
        </w:rPr>
        <w:t>Virch</w:t>
      </w:r>
      <w:proofErr w:type="spellEnd"/>
      <w:r w:rsidRPr="00FF65F3">
        <w:rPr>
          <w:rFonts w:ascii="Bookman Old Style" w:eastAsia="Times New Roman" w:hAnsi="Bookman Old Style"/>
        </w:rPr>
        <w:t>., Península de Valdés, Meseta Central y Los Andes o sus Direcciones dependientes.</w:t>
      </w:r>
    </w:p>
    <w:p w:rsidR="00107897" w:rsidRPr="00FF65F3" w:rsidRDefault="00AF413C" w:rsidP="00FF65F3">
      <w:pPr>
        <w:spacing w:after="0" w:line="360" w:lineRule="auto"/>
        <w:ind w:firstLine="2127"/>
        <w:jc w:val="both"/>
        <w:rPr>
          <w:rFonts w:ascii="Bookman Old Style" w:eastAsia="Times New Roman" w:hAnsi="Bookman Old Style"/>
          <w:b/>
          <w:bCs/>
        </w:rPr>
      </w:pPr>
      <w:r>
        <w:rPr>
          <w:rFonts w:ascii="Bookman Old Style" w:eastAsia="Times New Roman" w:hAnsi="Bookman Old Style"/>
          <w:b/>
          <w:bCs/>
        </w:rPr>
        <w:t>B</w:t>
      </w:r>
      <w:r w:rsidR="00107897" w:rsidRPr="00FF65F3">
        <w:rPr>
          <w:rFonts w:ascii="Bookman Old Style" w:eastAsia="Times New Roman" w:hAnsi="Bookman Old Style"/>
          <w:b/>
          <w:bCs/>
        </w:rPr>
        <w:t>) CONFESIONAL:</w:t>
      </w:r>
    </w:p>
    <w:p w:rsidR="00107897" w:rsidRPr="00FF65F3" w:rsidRDefault="00107897" w:rsidP="00FF65F3">
      <w:pPr>
        <w:spacing w:after="0" w:line="360" w:lineRule="auto"/>
        <w:ind w:firstLine="2127"/>
        <w:jc w:val="both"/>
        <w:rPr>
          <w:rFonts w:ascii="Bookman Old Style" w:eastAsia="Times New Roman" w:hAnsi="Bookman Old Style"/>
          <w:bCs/>
        </w:rPr>
      </w:pPr>
      <w:r w:rsidRPr="00FF65F3">
        <w:rPr>
          <w:rFonts w:ascii="Bookman Old Style" w:eastAsia="Times New Roman" w:hAnsi="Bookman Old Style"/>
          <w:bCs/>
        </w:rPr>
        <w:t>1. Se libre oficio a la Señora Subsecretaria de Gestión Ambiental y Desarrollo Sustentable, a cargo del Ministerio de Ambiente y Control del Desarrollo Sustentable, Mariana Valeria VEGA, a los fines de que absuelva posiciones a tenor del pliego que oportunamente se acompañara (Art. 411 del C.P.C.C.Ch.) y bajo apercibimiento de Ley.</w:t>
      </w:r>
    </w:p>
    <w:p w:rsidR="00107897" w:rsidRPr="00FF65F3" w:rsidRDefault="00F63329" w:rsidP="00FF65F3">
      <w:pPr>
        <w:spacing w:after="0" w:line="360" w:lineRule="auto"/>
        <w:ind w:firstLine="2127"/>
        <w:jc w:val="both"/>
        <w:rPr>
          <w:rFonts w:ascii="Bookman Old Style" w:eastAsia="Times New Roman" w:hAnsi="Bookman Old Style"/>
          <w:b/>
          <w:bCs/>
        </w:rPr>
      </w:pPr>
      <w:r w:rsidRPr="00FF65F3">
        <w:rPr>
          <w:rFonts w:ascii="Bookman Old Style" w:eastAsia="Times New Roman" w:hAnsi="Bookman Old Style"/>
          <w:b/>
          <w:bCs/>
        </w:rPr>
        <w:t>C) RECONOCIMIENTO JUDICIAL:</w:t>
      </w:r>
    </w:p>
    <w:p w:rsidR="00F63329" w:rsidRDefault="00F63329"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bCs/>
        </w:rPr>
        <w:t xml:space="preserve">A tenor del Artículo 483 inc. 1 del </w:t>
      </w:r>
      <w:proofErr w:type="spellStart"/>
      <w:r w:rsidRPr="00FF65F3">
        <w:rPr>
          <w:rFonts w:ascii="Bookman Old Style" w:eastAsia="Times New Roman" w:hAnsi="Bookman Old Style"/>
          <w:bCs/>
        </w:rPr>
        <w:t>CPCCCh</w:t>
      </w:r>
      <w:proofErr w:type="spellEnd"/>
      <w:r w:rsidRPr="00FF65F3">
        <w:rPr>
          <w:rFonts w:ascii="Bookman Old Style" w:eastAsia="Times New Roman" w:hAnsi="Bookman Old Style"/>
          <w:bCs/>
        </w:rPr>
        <w:t xml:space="preserve">, solicito a V.S. concurra al lugar donde se encuentra el predio de la firma ARCANTE S.A. </w:t>
      </w:r>
      <w:r w:rsidRPr="00FF65F3">
        <w:rPr>
          <w:rFonts w:ascii="Bookman Old Style" w:eastAsia="Times New Roman" w:hAnsi="Bookman Old Style"/>
        </w:rPr>
        <w:t>ubicado a 15 kilómetros de Trelew y con acceso desde Ruta 1, nuevo “basurero provincial” a efectos de realizar una constatación y reconocimiento del lugar.</w:t>
      </w:r>
    </w:p>
    <w:p w:rsidR="00AF413C" w:rsidRDefault="00AF413C" w:rsidP="00FF65F3">
      <w:pPr>
        <w:spacing w:after="0" w:line="360" w:lineRule="auto"/>
        <w:ind w:firstLine="2127"/>
        <w:jc w:val="both"/>
        <w:rPr>
          <w:rFonts w:ascii="Bookman Old Style" w:eastAsia="Times New Roman" w:hAnsi="Bookman Old Style"/>
          <w:b/>
        </w:rPr>
      </w:pPr>
      <w:r w:rsidRPr="00AF413C">
        <w:rPr>
          <w:rFonts w:ascii="Bookman Old Style" w:eastAsia="Times New Roman" w:hAnsi="Bookman Old Style"/>
          <w:b/>
        </w:rPr>
        <w:t>D) INFORMATIVA</w:t>
      </w:r>
      <w:r>
        <w:rPr>
          <w:rFonts w:ascii="Bookman Old Style" w:eastAsia="Times New Roman" w:hAnsi="Bookman Old Style"/>
          <w:b/>
        </w:rPr>
        <w:t>:</w:t>
      </w:r>
    </w:p>
    <w:p w:rsidR="00AF413C" w:rsidRPr="00AF413C" w:rsidRDefault="00AF413C" w:rsidP="00FF65F3">
      <w:pPr>
        <w:spacing w:after="0" w:line="360" w:lineRule="auto"/>
        <w:ind w:firstLine="2127"/>
        <w:jc w:val="both"/>
        <w:rPr>
          <w:rFonts w:ascii="Bookman Old Style" w:eastAsia="Times New Roman" w:hAnsi="Bookman Old Style"/>
          <w:bCs/>
        </w:rPr>
      </w:pPr>
      <w:r w:rsidRPr="00AF413C">
        <w:rPr>
          <w:rFonts w:ascii="Bookman Old Style" w:eastAsia="Times New Roman" w:hAnsi="Bookman Old Style"/>
        </w:rPr>
        <w:t>1.</w:t>
      </w:r>
      <w:r>
        <w:rPr>
          <w:rFonts w:ascii="Bookman Old Style" w:eastAsia="Times New Roman" w:hAnsi="Bookman Old Style"/>
        </w:rPr>
        <w:t xml:space="preserve"> Se libre oficio al Registro de la Propiedad inmueble a fin de que informe se el predio que posee la firma ARCANTE S.A., para el entierro de residuos sólidos industriales, cumplimiento con el Artículo 39° de la Ley N° 25.612.-</w:t>
      </w:r>
    </w:p>
    <w:p w:rsidR="00EB79A5" w:rsidRPr="00FF65F3" w:rsidRDefault="00EB79A5" w:rsidP="00FF65F3">
      <w:pPr>
        <w:spacing w:after="0" w:line="360" w:lineRule="auto"/>
        <w:ind w:firstLine="2127"/>
        <w:jc w:val="both"/>
        <w:rPr>
          <w:rFonts w:ascii="Bookman Old Style" w:eastAsia="Times New Roman" w:hAnsi="Bookman Old Style"/>
          <w:b/>
          <w:bCs/>
          <w:u w:val="single"/>
        </w:rPr>
      </w:pPr>
    </w:p>
    <w:p w:rsidR="00D14091" w:rsidRPr="00FF65F3" w:rsidRDefault="00EB79A5" w:rsidP="00FF65F3">
      <w:pPr>
        <w:spacing w:after="0" w:line="360" w:lineRule="auto"/>
        <w:ind w:firstLine="2127"/>
        <w:jc w:val="both"/>
        <w:rPr>
          <w:rFonts w:ascii="Bookman Old Style" w:eastAsia="Times New Roman" w:hAnsi="Bookman Old Style"/>
          <w:u w:val="single"/>
        </w:rPr>
      </w:pPr>
      <w:r w:rsidRPr="00FF65F3">
        <w:rPr>
          <w:rFonts w:ascii="Bookman Old Style" w:eastAsia="Times New Roman" w:hAnsi="Bookman Old Style"/>
          <w:b/>
          <w:bCs/>
          <w:u w:val="single"/>
        </w:rPr>
        <w:t>V</w:t>
      </w:r>
      <w:r w:rsidR="005C0028">
        <w:rPr>
          <w:rFonts w:ascii="Bookman Old Style" w:eastAsia="Times New Roman" w:hAnsi="Bookman Old Style"/>
          <w:b/>
          <w:bCs/>
          <w:u w:val="single"/>
        </w:rPr>
        <w:t>I</w:t>
      </w:r>
      <w:r w:rsidR="005D1238">
        <w:rPr>
          <w:rFonts w:ascii="Bookman Old Style" w:eastAsia="Times New Roman" w:hAnsi="Bookman Old Style"/>
          <w:b/>
          <w:bCs/>
          <w:u w:val="single"/>
        </w:rPr>
        <w:t>I</w:t>
      </w:r>
      <w:r w:rsidRPr="00FF65F3">
        <w:rPr>
          <w:rFonts w:ascii="Bookman Old Style" w:eastAsia="Times New Roman" w:hAnsi="Bookman Old Style"/>
          <w:b/>
          <w:bCs/>
          <w:u w:val="single"/>
        </w:rPr>
        <w:t>.- PETITORIO.</w:t>
      </w:r>
    </w:p>
    <w:p w:rsidR="00D14091" w:rsidRPr="00FF65F3" w:rsidRDefault="002D1F5D"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En razón a los argumentos de hecho y derecho evidenciados, a V.S peticiono:</w:t>
      </w:r>
    </w:p>
    <w:p w:rsidR="00D14091" w:rsidRDefault="00F63329" w:rsidP="00FF65F3">
      <w:pPr>
        <w:spacing w:after="0" w:line="360" w:lineRule="auto"/>
        <w:ind w:firstLine="2127"/>
        <w:jc w:val="both"/>
        <w:rPr>
          <w:rFonts w:ascii="Bookman Old Style" w:eastAsia="Times New Roman" w:hAnsi="Bookman Old Style"/>
        </w:rPr>
      </w:pPr>
      <w:r w:rsidRPr="00FF65F3">
        <w:rPr>
          <w:rFonts w:ascii="Bookman Old Style" w:eastAsia="Times New Roman" w:hAnsi="Bookman Old Style"/>
        </w:rPr>
        <w:t>1.- Se me tenga por interpuesta en debida forma la presente Acción de Amparo Ambiental.</w:t>
      </w:r>
    </w:p>
    <w:p w:rsidR="005C0028" w:rsidRPr="00FF65F3" w:rsidRDefault="005C0028"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 xml:space="preserve">2.- Se </w:t>
      </w:r>
      <w:r w:rsidR="005D1238">
        <w:rPr>
          <w:rFonts w:ascii="Bookman Old Style" w:eastAsia="Times New Roman" w:hAnsi="Bookman Old Style"/>
        </w:rPr>
        <w:t xml:space="preserve">ordene el cese inmediato de la actividad que efectúa la firma ARCANTE S.A. en el predio </w:t>
      </w:r>
      <w:r w:rsidR="005D1238" w:rsidRPr="00FF65F3">
        <w:rPr>
          <w:rFonts w:ascii="Bookman Old Style" w:eastAsia="Times New Roman" w:hAnsi="Bookman Old Style"/>
        </w:rPr>
        <w:t>ubicado a 15 kilómetros de Trelew y con acceso desde Ruta 1</w:t>
      </w:r>
      <w:r w:rsidR="005D1238">
        <w:rPr>
          <w:rFonts w:ascii="Bookman Old Style" w:eastAsia="Times New Roman" w:hAnsi="Bookman Old Style"/>
        </w:rPr>
        <w:t xml:space="preserve">, denominado </w:t>
      </w:r>
      <w:r w:rsidR="005D1238">
        <w:rPr>
          <w:rFonts w:ascii="Bookman Old Style" w:eastAsia="Times New Roman" w:hAnsi="Bookman Old Style"/>
        </w:rPr>
        <w:t>“</w:t>
      </w:r>
      <w:r w:rsidR="005D1238" w:rsidRPr="00FF65F3">
        <w:rPr>
          <w:rFonts w:ascii="Bookman Old Style" w:eastAsia="Times New Roman" w:hAnsi="Bookman Old Style"/>
        </w:rPr>
        <w:t>centro de disposición de residuos pesqueros</w:t>
      </w:r>
      <w:r w:rsidR="005D1238">
        <w:rPr>
          <w:rFonts w:ascii="Bookman Old Style" w:eastAsia="Times New Roman" w:hAnsi="Bookman Old Style"/>
        </w:rPr>
        <w:t>”</w:t>
      </w:r>
      <w:r>
        <w:rPr>
          <w:rFonts w:ascii="Bookman Old Style" w:eastAsia="Times New Roman" w:hAnsi="Bookman Old Style"/>
        </w:rPr>
        <w:t>.</w:t>
      </w:r>
    </w:p>
    <w:p w:rsidR="00BC6EB2" w:rsidRPr="00FF65F3" w:rsidRDefault="005C0028"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3</w:t>
      </w:r>
      <w:r w:rsidR="002D1F5D" w:rsidRPr="00FF65F3">
        <w:rPr>
          <w:rFonts w:ascii="Bookman Old Style" w:eastAsia="Times New Roman" w:hAnsi="Bookman Old Style"/>
        </w:rPr>
        <w:t xml:space="preserve">.- Se tenga por presentada la prueba instrumental arrimada y </w:t>
      </w:r>
      <w:r w:rsidR="00F63329" w:rsidRPr="00FF65F3">
        <w:rPr>
          <w:rFonts w:ascii="Bookman Old Style" w:eastAsia="Times New Roman" w:hAnsi="Bookman Old Style"/>
        </w:rPr>
        <w:t>se tengan presentes los restantes elementos de prueba ofrecidos.</w:t>
      </w:r>
    </w:p>
    <w:p w:rsidR="00F63329" w:rsidRPr="00FF65F3" w:rsidRDefault="005C0028" w:rsidP="00FF65F3">
      <w:pPr>
        <w:spacing w:after="0" w:line="360" w:lineRule="auto"/>
        <w:ind w:firstLine="2127"/>
        <w:jc w:val="both"/>
        <w:rPr>
          <w:rFonts w:ascii="Bookman Old Style" w:hAnsi="Bookman Old Style"/>
        </w:rPr>
      </w:pPr>
      <w:r>
        <w:rPr>
          <w:rFonts w:ascii="Bookman Old Style" w:eastAsia="Times New Roman" w:hAnsi="Bookman Old Style"/>
        </w:rPr>
        <w:t>4</w:t>
      </w:r>
      <w:r w:rsidR="002D1F5D" w:rsidRPr="00FF65F3">
        <w:rPr>
          <w:rFonts w:ascii="Bookman Old Style" w:eastAsia="Times New Roman" w:hAnsi="Bookman Old Style"/>
        </w:rPr>
        <w:t>.- Se ordene</w:t>
      </w:r>
      <w:r w:rsidR="00F63329" w:rsidRPr="00FF65F3">
        <w:rPr>
          <w:rFonts w:ascii="Bookman Old Style" w:eastAsia="Times New Roman" w:hAnsi="Bookman Old Style"/>
        </w:rPr>
        <w:t xml:space="preserve"> correr traslado de la presente demanda por el término y bajo apercibimiento de Ley.</w:t>
      </w:r>
    </w:p>
    <w:p w:rsidR="00F63329" w:rsidRPr="00FF65F3" w:rsidRDefault="005C0028" w:rsidP="00FF65F3">
      <w:pPr>
        <w:spacing w:after="0" w:line="360" w:lineRule="auto"/>
        <w:ind w:firstLine="2127"/>
        <w:jc w:val="both"/>
        <w:rPr>
          <w:rFonts w:ascii="Bookman Old Style" w:eastAsia="Times New Roman" w:hAnsi="Bookman Old Style"/>
        </w:rPr>
      </w:pPr>
      <w:r>
        <w:rPr>
          <w:rFonts w:ascii="Bookman Old Style" w:eastAsia="Times New Roman" w:hAnsi="Bookman Old Style"/>
        </w:rPr>
        <w:t>5</w:t>
      </w:r>
      <w:r w:rsidR="005C603C" w:rsidRPr="00FF65F3">
        <w:rPr>
          <w:rFonts w:ascii="Bookman Old Style" w:eastAsia="Times New Roman" w:hAnsi="Bookman Old Style"/>
        </w:rPr>
        <w:t xml:space="preserve">. </w:t>
      </w:r>
      <w:r w:rsidR="00F63329" w:rsidRPr="00FF65F3">
        <w:rPr>
          <w:rFonts w:ascii="Bookman Old Style" w:eastAsia="Times New Roman" w:hAnsi="Bookman Old Style"/>
        </w:rPr>
        <w:t>Falle V.S. haciendo lugar a la presente Acción de Amparo Ambiental, con costas en caso de que medie oposición.</w:t>
      </w:r>
    </w:p>
    <w:p w:rsidR="00FF65F3" w:rsidRPr="00FF65F3" w:rsidRDefault="00FF65F3" w:rsidP="00FF65F3">
      <w:pPr>
        <w:spacing w:after="0" w:line="360" w:lineRule="auto"/>
        <w:ind w:firstLine="2127"/>
        <w:jc w:val="both"/>
        <w:rPr>
          <w:rFonts w:ascii="Bookman Old Style" w:eastAsia="Times New Roman" w:hAnsi="Bookman Old Style"/>
          <w:bCs/>
        </w:rPr>
      </w:pPr>
    </w:p>
    <w:p w:rsidR="0036164D" w:rsidRPr="00FF65F3" w:rsidRDefault="0036164D" w:rsidP="00FF65F3">
      <w:pPr>
        <w:spacing w:after="0" w:line="360" w:lineRule="auto"/>
        <w:ind w:firstLine="2127"/>
        <w:jc w:val="both"/>
        <w:rPr>
          <w:rFonts w:ascii="Bookman Old Style" w:eastAsia="Times New Roman" w:hAnsi="Bookman Old Style"/>
          <w:bCs/>
        </w:rPr>
      </w:pPr>
    </w:p>
    <w:p w:rsidR="002D1F5D" w:rsidRPr="00FF65F3" w:rsidRDefault="002D1F5D" w:rsidP="00FF65F3">
      <w:pPr>
        <w:widowControl w:val="0"/>
        <w:autoSpaceDE w:val="0"/>
        <w:autoSpaceDN w:val="0"/>
        <w:adjustRightInd w:val="0"/>
        <w:spacing w:after="0" w:line="360" w:lineRule="auto"/>
        <w:ind w:left="3600" w:firstLine="720"/>
        <w:jc w:val="both"/>
        <w:rPr>
          <w:rFonts w:ascii="Bookman Old Style" w:eastAsia="Times New Roman" w:hAnsi="Bookman Old Style"/>
          <w:b/>
          <w:bCs/>
        </w:rPr>
      </w:pPr>
      <w:r w:rsidRPr="00FF65F3">
        <w:rPr>
          <w:rFonts w:ascii="Bookman Old Style" w:eastAsia="Times New Roman" w:hAnsi="Bookman Old Style"/>
          <w:b/>
          <w:bCs/>
        </w:rPr>
        <w:t xml:space="preserve">PROVEER DE CONFORMIDAD </w:t>
      </w:r>
    </w:p>
    <w:p w:rsidR="002D1F5D" w:rsidRPr="00FF65F3" w:rsidRDefault="002D1F5D" w:rsidP="00FF65F3">
      <w:pPr>
        <w:widowControl w:val="0"/>
        <w:autoSpaceDE w:val="0"/>
        <w:autoSpaceDN w:val="0"/>
        <w:adjustRightInd w:val="0"/>
        <w:spacing w:after="0" w:line="360" w:lineRule="auto"/>
        <w:jc w:val="both"/>
        <w:rPr>
          <w:rFonts w:ascii="Bookman Old Style" w:eastAsia="Times New Roman" w:hAnsi="Bookman Old Style"/>
        </w:rPr>
      </w:pPr>
      <w:r w:rsidRPr="00FF65F3">
        <w:rPr>
          <w:rFonts w:ascii="Bookman Old Style" w:eastAsia="Times New Roman" w:hAnsi="Bookman Old Style"/>
          <w:b/>
          <w:bCs/>
        </w:rPr>
        <w:tab/>
      </w:r>
      <w:r w:rsidRPr="00FF65F3">
        <w:rPr>
          <w:rFonts w:ascii="Bookman Old Style" w:eastAsia="Times New Roman" w:hAnsi="Bookman Old Style"/>
          <w:b/>
          <w:bCs/>
        </w:rPr>
        <w:tab/>
      </w:r>
      <w:r w:rsidRPr="00FF65F3">
        <w:rPr>
          <w:rFonts w:ascii="Bookman Old Style" w:eastAsia="Times New Roman" w:hAnsi="Bookman Old Style"/>
          <w:b/>
          <w:bCs/>
        </w:rPr>
        <w:tab/>
      </w:r>
      <w:r w:rsidRPr="00FF65F3">
        <w:rPr>
          <w:rFonts w:ascii="Bookman Old Style" w:eastAsia="Times New Roman" w:hAnsi="Bookman Old Style"/>
          <w:b/>
          <w:bCs/>
        </w:rPr>
        <w:tab/>
      </w:r>
      <w:r w:rsidRPr="00FF65F3">
        <w:rPr>
          <w:rFonts w:ascii="Bookman Old Style" w:eastAsia="Times New Roman" w:hAnsi="Bookman Old Style"/>
          <w:b/>
          <w:bCs/>
        </w:rPr>
        <w:tab/>
      </w:r>
      <w:r w:rsidRPr="00FF65F3">
        <w:rPr>
          <w:rFonts w:ascii="Bookman Old Style" w:eastAsia="Times New Roman" w:hAnsi="Bookman Old Style"/>
          <w:b/>
          <w:bCs/>
        </w:rPr>
        <w:tab/>
        <w:t xml:space="preserve">            SERA JUSTICIA</w:t>
      </w:r>
      <w:r w:rsidR="005C603C" w:rsidRPr="00FF65F3">
        <w:rPr>
          <w:rFonts w:ascii="Bookman Old Style" w:eastAsia="Times New Roman" w:hAnsi="Bookman Old Style"/>
          <w:b/>
          <w:bCs/>
        </w:rPr>
        <w:t>.-</w:t>
      </w:r>
    </w:p>
    <w:p w:rsidR="00592DF2" w:rsidRPr="00FF65F3" w:rsidRDefault="00592DF2" w:rsidP="00FF65F3">
      <w:pPr>
        <w:spacing w:after="0" w:line="360" w:lineRule="auto"/>
        <w:rPr>
          <w:rFonts w:ascii="Bookman Old Style" w:hAnsi="Bookman Old Style"/>
        </w:rPr>
      </w:pPr>
    </w:p>
    <w:sectPr w:rsidR="00592DF2" w:rsidRPr="00FF65F3" w:rsidSect="00FF65F3">
      <w:pgSz w:w="12240" w:h="20160" w:code="5"/>
      <w:pgMar w:top="1417" w:right="1041"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E05" w:rsidRDefault="00643E05" w:rsidP="00BD18D4">
      <w:pPr>
        <w:spacing w:after="0" w:line="240" w:lineRule="auto"/>
      </w:pPr>
      <w:r>
        <w:separator/>
      </w:r>
    </w:p>
  </w:endnote>
  <w:endnote w:type="continuationSeparator" w:id="0">
    <w:p w:rsidR="00643E05" w:rsidRDefault="00643E05" w:rsidP="00BD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E05" w:rsidRDefault="00643E05" w:rsidP="00BD18D4">
      <w:pPr>
        <w:spacing w:after="0" w:line="240" w:lineRule="auto"/>
      </w:pPr>
      <w:r>
        <w:separator/>
      </w:r>
    </w:p>
  </w:footnote>
  <w:footnote w:type="continuationSeparator" w:id="0">
    <w:p w:rsidR="00643E05" w:rsidRDefault="00643E05" w:rsidP="00BD18D4">
      <w:pPr>
        <w:spacing w:after="0" w:line="240" w:lineRule="auto"/>
      </w:pPr>
      <w:r>
        <w:continuationSeparator/>
      </w:r>
    </w:p>
  </w:footnote>
  <w:footnote w:id="1">
    <w:p w:rsidR="004741FD" w:rsidRPr="004741FD" w:rsidRDefault="004741FD" w:rsidP="004741FD">
      <w:pPr>
        <w:pStyle w:val="Textonotapie"/>
        <w:jc w:val="both"/>
        <w:rPr>
          <w:rFonts w:ascii="Bookman Old Style" w:hAnsi="Bookman Old Style"/>
        </w:rPr>
      </w:pPr>
      <w:r w:rsidRPr="004741FD">
        <w:rPr>
          <w:rStyle w:val="Refdenotaalpie"/>
          <w:rFonts w:ascii="Bookman Old Style" w:hAnsi="Bookman Old Style"/>
        </w:rPr>
        <w:footnoteRef/>
      </w:r>
      <w:r w:rsidRPr="004741FD">
        <w:rPr>
          <w:rFonts w:ascii="Bookman Old Style" w:hAnsi="Bookman Old Style"/>
        </w:rPr>
        <w:t xml:space="preserve"> </w:t>
      </w:r>
      <w:r w:rsidRPr="004741FD">
        <w:rPr>
          <w:rFonts w:ascii="Bookman Old Style" w:eastAsia="Times New Roman" w:hAnsi="Bookman Old Style"/>
        </w:rPr>
        <w:t>DÍAZ SOLIMINE, Omar Luis: “Juicio de amparo”, Ed. Hammurabi, Bs.As., pág. 78.</w:t>
      </w:r>
    </w:p>
  </w:footnote>
  <w:footnote w:id="2">
    <w:p w:rsidR="004741FD" w:rsidRPr="004741FD" w:rsidRDefault="004741FD" w:rsidP="004741FD">
      <w:pPr>
        <w:pStyle w:val="Textonotapie"/>
        <w:jc w:val="both"/>
        <w:rPr>
          <w:rFonts w:ascii="Bookman Old Style" w:hAnsi="Bookman Old Style"/>
        </w:rPr>
      </w:pPr>
      <w:r w:rsidRPr="004741FD">
        <w:rPr>
          <w:rStyle w:val="Refdenotaalpie"/>
          <w:rFonts w:ascii="Bookman Old Style" w:hAnsi="Bookman Old Style"/>
        </w:rPr>
        <w:footnoteRef/>
      </w:r>
      <w:r w:rsidRPr="004741FD">
        <w:rPr>
          <w:rFonts w:ascii="Bookman Old Style" w:hAnsi="Bookman Old Style"/>
        </w:rPr>
        <w:t xml:space="preserve"> </w:t>
      </w:r>
      <w:r w:rsidRPr="004741FD">
        <w:rPr>
          <w:rFonts w:ascii="Bookman Old Style" w:hAnsi="Bookman Old Style"/>
        </w:rPr>
        <w:t>CARRILLO BASCARY, Luis A.: “Introducción a la nueva Ley Provinci</w:t>
      </w:r>
      <w:r w:rsidRPr="004741FD">
        <w:rPr>
          <w:rFonts w:ascii="Bookman Old Style" w:hAnsi="Bookman Old Style"/>
        </w:rPr>
        <w:t xml:space="preserve">al de Amparo de la Provincia de </w:t>
      </w:r>
      <w:r w:rsidRPr="004741FD">
        <w:rPr>
          <w:rFonts w:ascii="Bookman Old Style" w:hAnsi="Bookman Old Style"/>
        </w:rPr>
        <w:t xml:space="preserve">Santa </w:t>
      </w:r>
      <w:proofErr w:type="spellStart"/>
      <w:r w:rsidRPr="004741FD">
        <w:rPr>
          <w:rFonts w:ascii="Bookman Old Style" w:hAnsi="Bookman Old Style"/>
        </w:rPr>
        <w:t>Fé</w:t>
      </w:r>
      <w:proofErr w:type="spellEnd"/>
      <w:r w:rsidRPr="004741FD">
        <w:rPr>
          <w:rFonts w:ascii="Bookman Old Style" w:hAnsi="Bookman Old Style"/>
        </w:rPr>
        <w:t xml:space="preserve"> Nº 10.546”, en </w:t>
      </w:r>
      <w:proofErr w:type="spellStart"/>
      <w:r w:rsidRPr="004741FD">
        <w:rPr>
          <w:rFonts w:ascii="Bookman Old Style" w:hAnsi="Bookman Old Style"/>
        </w:rPr>
        <w:t>Zeuz</w:t>
      </w:r>
      <w:proofErr w:type="spellEnd"/>
      <w:r w:rsidRPr="004741FD">
        <w:rPr>
          <w:rFonts w:ascii="Bookman Old Style" w:hAnsi="Bookman Old Style"/>
        </w:rPr>
        <w:t xml:space="preserve"> 53-251.-</w:t>
      </w:r>
    </w:p>
  </w:footnote>
  <w:footnote w:id="3">
    <w:p w:rsidR="004741FD" w:rsidRPr="004741FD" w:rsidRDefault="004741FD" w:rsidP="004741FD">
      <w:pPr>
        <w:pStyle w:val="Textonotapie"/>
        <w:jc w:val="both"/>
        <w:rPr>
          <w:rFonts w:ascii="Bookman Old Style" w:hAnsi="Bookman Old Style"/>
        </w:rPr>
      </w:pPr>
      <w:r w:rsidRPr="004741FD">
        <w:rPr>
          <w:rStyle w:val="Refdenotaalpie"/>
          <w:rFonts w:ascii="Bookman Old Style" w:hAnsi="Bookman Old Style"/>
        </w:rPr>
        <w:footnoteRef/>
      </w:r>
      <w:r w:rsidRPr="004741FD">
        <w:rPr>
          <w:rFonts w:ascii="Bookman Old Style" w:hAnsi="Bookman Old Style"/>
        </w:rPr>
        <w:t xml:space="preserve"> </w:t>
      </w:r>
      <w:r w:rsidRPr="004741FD">
        <w:rPr>
          <w:rFonts w:ascii="Bookman Old Style" w:hAnsi="Bookman Old Style"/>
        </w:rPr>
        <w:t xml:space="preserve">Tal circunstancia, como señalan algunos autores, quita también objetividad. Dice BIDART CAMPOS: “el amparo debe incoarse ante el juez predeterminado, es decir, ante el que está previamente señalado –cualquiera sea- porque ello apareja mayor seguridad de imparcialidad. Es común que de antemano se conozca la posición de los magistrados con relación a la procedencia o improcedencia del amparo, y si bien ello no es de por sí objetable, nos parece que la parte interesada no ha de poder elegir por sí misma aquél de entre ellos que le parezca más favorable a su pretensión. El principio del juez natural tiende, precisamente, a eliminar la posibilidad de que entienda en el proceso un juez especialmente designado o escogido para el caso; el juez – en cuanto órgano estatal- debe ser anterior y predeterminado a la causa…” (BIDART CAMPOS, Germán J.: “Régimen legal y jurisprudencial del amparo”, Ed. </w:t>
      </w:r>
      <w:proofErr w:type="spellStart"/>
      <w:r w:rsidRPr="004741FD">
        <w:rPr>
          <w:rFonts w:ascii="Bookman Old Style" w:hAnsi="Bookman Old Style"/>
        </w:rPr>
        <w:t>Ediar</w:t>
      </w:r>
      <w:proofErr w:type="spellEnd"/>
      <w:r w:rsidRPr="004741FD">
        <w:rPr>
          <w:rFonts w:ascii="Bookman Old Style" w:hAnsi="Bookman Old Style"/>
        </w:rPr>
        <w:t>, Bs.As., 1969, pág. 357 y 358). Sobre este tema ver, también, GALLARDO, Eduardo: “La competencia en el recurso de amparo”, en L.L. 118-1128 y DIBUR, José Nicasio y GARCÍA CAFFARO, José Luis (“Algunas reflexiones sobre la acción de amparo y la vigencia de los principios sobre la competencia material”, en J.A. 1965-IV-554), quienes indican que “las normas de</w:t>
      </w:r>
      <w:r w:rsidRPr="004741FD">
        <w:rPr>
          <w:rFonts w:ascii="Bookman Old Style" w:hAnsi="Bookman Old Style"/>
        </w:rPr>
        <w:t xml:space="preserve"> </w:t>
      </w:r>
      <w:r w:rsidRPr="004741FD">
        <w:rPr>
          <w:rFonts w:ascii="Bookman Old Style" w:hAnsi="Bookman Old Style"/>
        </w:rPr>
        <w:t>actuación forense no deben crearle al justiciable condiciones propicias que puedan llegar a afectar la igualdad procesal, ni menos ofrecer oportunidades de este tipo”.</w:t>
      </w:r>
    </w:p>
  </w:footnote>
  <w:footnote w:id="4">
    <w:p w:rsidR="005C0028" w:rsidRPr="00382ADB" w:rsidRDefault="005C0028" w:rsidP="005C0028">
      <w:pPr>
        <w:pStyle w:val="Textonotapie"/>
        <w:jc w:val="both"/>
        <w:rPr>
          <w:rFonts w:ascii="Bookman Old Style" w:hAnsi="Bookman Old Style"/>
          <w:lang w:val="es-AR"/>
        </w:rPr>
      </w:pPr>
      <w:r w:rsidRPr="00382ADB">
        <w:rPr>
          <w:rStyle w:val="Refdenotaalpie"/>
          <w:rFonts w:ascii="Bookman Old Style" w:hAnsi="Bookman Old Style"/>
        </w:rPr>
        <w:footnoteRef/>
      </w:r>
      <w:r w:rsidRPr="00382ADB">
        <w:rPr>
          <w:rFonts w:ascii="Bookman Old Style" w:hAnsi="Bookman Old Style"/>
        </w:rPr>
        <w:t xml:space="preserve"> Dice el maestro Augusto Mario </w:t>
      </w:r>
      <w:proofErr w:type="spellStart"/>
      <w:r w:rsidRPr="00382ADB">
        <w:rPr>
          <w:rFonts w:ascii="Bookman Old Style" w:hAnsi="Bookman Old Style"/>
        </w:rPr>
        <w:t>Morello</w:t>
      </w:r>
      <w:proofErr w:type="spellEnd"/>
      <w:r w:rsidRPr="00382ADB">
        <w:rPr>
          <w:rFonts w:ascii="Bookman Old Style" w:hAnsi="Bookman Old Style"/>
        </w:rPr>
        <w:t xml:space="preserve"> en relación a la </w:t>
      </w:r>
      <w:proofErr w:type="spellStart"/>
      <w:r w:rsidRPr="00382ADB">
        <w:rPr>
          <w:rFonts w:ascii="Bookman Old Style" w:hAnsi="Bookman Old Style"/>
        </w:rPr>
        <w:t>contracautela</w:t>
      </w:r>
      <w:proofErr w:type="spellEnd"/>
      <w:r w:rsidRPr="00382ADB">
        <w:rPr>
          <w:rFonts w:ascii="Bookman Old Style" w:hAnsi="Bookman Old Style"/>
        </w:rPr>
        <w:t xml:space="preserve"> en éstos supuestos que “de ser evidente</w:t>
      </w:r>
      <w:r>
        <w:rPr>
          <w:rFonts w:ascii="Bookman Old Style" w:hAnsi="Bookman Old Style"/>
        </w:rPr>
        <w:t xml:space="preserve"> </w:t>
      </w:r>
      <w:r w:rsidRPr="00382ADB">
        <w:rPr>
          <w:rFonts w:ascii="Bookman Old Style" w:hAnsi="Bookman Old Style"/>
        </w:rPr>
        <w:t xml:space="preserve">(manifiesta) la </w:t>
      </w:r>
      <w:proofErr w:type="spellStart"/>
      <w:r w:rsidRPr="00382ADB">
        <w:rPr>
          <w:rFonts w:ascii="Bookman Old Style" w:hAnsi="Bookman Old Style"/>
        </w:rPr>
        <w:t>atendibilidad</w:t>
      </w:r>
      <w:proofErr w:type="spellEnd"/>
      <w:r w:rsidRPr="00382ADB">
        <w:rPr>
          <w:rFonts w:ascii="Bookman Old Style" w:hAnsi="Bookman Old Style"/>
        </w:rPr>
        <w:t xml:space="preserve"> de la cautela por la reforzada verosimilitud de los derechos a tutelar deberá debilitarse el</w:t>
      </w:r>
      <w:r>
        <w:rPr>
          <w:rFonts w:ascii="Bookman Old Style" w:hAnsi="Bookman Old Style"/>
        </w:rPr>
        <w:t xml:space="preserve"> </w:t>
      </w:r>
      <w:r w:rsidRPr="00382ADB">
        <w:rPr>
          <w:rFonts w:ascii="Bookman Old Style" w:hAnsi="Bookman Old Style"/>
        </w:rPr>
        <w:t xml:space="preserve">peso de la garantía a fin de no frustrar el </w:t>
      </w:r>
      <w:r>
        <w:rPr>
          <w:rFonts w:ascii="Bookman Old Style" w:hAnsi="Bookman Old Style"/>
        </w:rPr>
        <w:t>a</w:t>
      </w:r>
      <w:r w:rsidRPr="00382ADB">
        <w:rPr>
          <w:rFonts w:ascii="Bookman Old Style" w:hAnsi="Bookman Old Style"/>
        </w:rPr>
        <w:t xml:space="preserve">mparo jurisdiccional” (A. M. </w:t>
      </w:r>
      <w:proofErr w:type="spellStart"/>
      <w:r w:rsidRPr="00382ADB">
        <w:rPr>
          <w:rFonts w:ascii="Bookman Old Style" w:hAnsi="Bookman Old Style"/>
        </w:rPr>
        <w:t>Morello</w:t>
      </w:r>
      <w:proofErr w:type="spellEnd"/>
      <w:r w:rsidRPr="00382ADB">
        <w:rPr>
          <w:rFonts w:ascii="Bookman Old Style" w:hAnsi="Bookman Old Style"/>
        </w:rPr>
        <w:t>, La tutela de los intereses difusos en el</w:t>
      </w:r>
      <w:r>
        <w:rPr>
          <w:rFonts w:ascii="Bookman Old Style" w:hAnsi="Bookman Old Style"/>
        </w:rPr>
        <w:t xml:space="preserve"> </w:t>
      </w:r>
      <w:r w:rsidRPr="00382ADB">
        <w:rPr>
          <w:rFonts w:ascii="Bookman Old Style" w:hAnsi="Bookman Old Style"/>
        </w:rPr>
        <w:t>derecho argentino, editora Platense, La Plata, 1999, p. 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5D"/>
    <w:rsid w:val="000050F1"/>
    <w:rsid w:val="00014D7D"/>
    <w:rsid w:val="00015EA3"/>
    <w:rsid w:val="000574E0"/>
    <w:rsid w:val="000705AA"/>
    <w:rsid w:val="00071E12"/>
    <w:rsid w:val="00073D42"/>
    <w:rsid w:val="00096BA1"/>
    <w:rsid w:val="000B5768"/>
    <w:rsid w:val="000D0796"/>
    <w:rsid w:val="000E09E8"/>
    <w:rsid w:val="001014C7"/>
    <w:rsid w:val="0010435A"/>
    <w:rsid w:val="001057B0"/>
    <w:rsid w:val="00107897"/>
    <w:rsid w:val="00114924"/>
    <w:rsid w:val="00122787"/>
    <w:rsid w:val="0013027C"/>
    <w:rsid w:val="0013097A"/>
    <w:rsid w:val="00136E1D"/>
    <w:rsid w:val="001412AA"/>
    <w:rsid w:val="00141737"/>
    <w:rsid w:val="00162EA6"/>
    <w:rsid w:val="00194DF0"/>
    <w:rsid w:val="001B0341"/>
    <w:rsid w:val="001C5FB5"/>
    <w:rsid w:val="001D1A85"/>
    <w:rsid w:val="001F621E"/>
    <w:rsid w:val="00201818"/>
    <w:rsid w:val="00227F05"/>
    <w:rsid w:val="00236B46"/>
    <w:rsid w:val="002405CB"/>
    <w:rsid w:val="002656BD"/>
    <w:rsid w:val="0027081B"/>
    <w:rsid w:val="00281FEE"/>
    <w:rsid w:val="002820EE"/>
    <w:rsid w:val="00284E62"/>
    <w:rsid w:val="002B13A4"/>
    <w:rsid w:val="002B547F"/>
    <w:rsid w:val="002D1F5D"/>
    <w:rsid w:val="002D3E31"/>
    <w:rsid w:val="002F7DA3"/>
    <w:rsid w:val="00305328"/>
    <w:rsid w:val="00313FB3"/>
    <w:rsid w:val="0032463D"/>
    <w:rsid w:val="00330515"/>
    <w:rsid w:val="0035076F"/>
    <w:rsid w:val="003538E5"/>
    <w:rsid w:val="003544A6"/>
    <w:rsid w:val="0036164D"/>
    <w:rsid w:val="00361B3A"/>
    <w:rsid w:val="00373895"/>
    <w:rsid w:val="00384443"/>
    <w:rsid w:val="003D26F1"/>
    <w:rsid w:val="003D6B7E"/>
    <w:rsid w:val="003E429B"/>
    <w:rsid w:val="003E529E"/>
    <w:rsid w:val="003F5408"/>
    <w:rsid w:val="00400A18"/>
    <w:rsid w:val="004042CF"/>
    <w:rsid w:val="004146C8"/>
    <w:rsid w:val="0041586C"/>
    <w:rsid w:val="00432D64"/>
    <w:rsid w:val="0044024E"/>
    <w:rsid w:val="004600FB"/>
    <w:rsid w:val="004614CA"/>
    <w:rsid w:val="004741FD"/>
    <w:rsid w:val="0047577E"/>
    <w:rsid w:val="00493B48"/>
    <w:rsid w:val="00495A08"/>
    <w:rsid w:val="0049686B"/>
    <w:rsid w:val="004A42C6"/>
    <w:rsid w:val="004B26A0"/>
    <w:rsid w:val="004C228F"/>
    <w:rsid w:val="00524307"/>
    <w:rsid w:val="005346D7"/>
    <w:rsid w:val="00537D26"/>
    <w:rsid w:val="00557193"/>
    <w:rsid w:val="00557980"/>
    <w:rsid w:val="00576C1A"/>
    <w:rsid w:val="00586074"/>
    <w:rsid w:val="00592DF2"/>
    <w:rsid w:val="005B70B9"/>
    <w:rsid w:val="005B7C9C"/>
    <w:rsid w:val="005C0028"/>
    <w:rsid w:val="005C603C"/>
    <w:rsid w:val="005C6D5F"/>
    <w:rsid w:val="005D1238"/>
    <w:rsid w:val="005E2FCD"/>
    <w:rsid w:val="005F6680"/>
    <w:rsid w:val="006072D1"/>
    <w:rsid w:val="00616536"/>
    <w:rsid w:val="00633DBE"/>
    <w:rsid w:val="0063497F"/>
    <w:rsid w:val="006432B4"/>
    <w:rsid w:val="00643E05"/>
    <w:rsid w:val="0064420C"/>
    <w:rsid w:val="006568E9"/>
    <w:rsid w:val="00681E43"/>
    <w:rsid w:val="006909F2"/>
    <w:rsid w:val="006B6AA9"/>
    <w:rsid w:val="006C44AC"/>
    <w:rsid w:val="006E5900"/>
    <w:rsid w:val="006F291A"/>
    <w:rsid w:val="0070209D"/>
    <w:rsid w:val="00703A3C"/>
    <w:rsid w:val="0072180A"/>
    <w:rsid w:val="007455B1"/>
    <w:rsid w:val="00747317"/>
    <w:rsid w:val="00765129"/>
    <w:rsid w:val="00770E07"/>
    <w:rsid w:val="00782497"/>
    <w:rsid w:val="00794960"/>
    <w:rsid w:val="00794FFE"/>
    <w:rsid w:val="007B2563"/>
    <w:rsid w:val="007C059B"/>
    <w:rsid w:val="007F4E3B"/>
    <w:rsid w:val="007F737C"/>
    <w:rsid w:val="008136FF"/>
    <w:rsid w:val="008342BD"/>
    <w:rsid w:val="008409CA"/>
    <w:rsid w:val="00847915"/>
    <w:rsid w:val="00853F3C"/>
    <w:rsid w:val="008839E4"/>
    <w:rsid w:val="00883CE4"/>
    <w:rsid w:val="0088426A"/>
    <w:rsid w:val="0089635D"/>
    <w:rsid w:val="008A4E1E"/>
    <w:rsid w:val="008A599E"/>
    <w:rsid w:val="008B12B7"/>
    <w:rsid w:val="008C03B7"/>
    <w:rsid w:val="008C5FB5"/>
    <w:rsid w:val="008D514F"/>
    <w:rsid w:val="008D5F07"/>
    <w:rsid w:val="008D7E7E"/>
    <w:rsid w:val="008E0FE2"/>
    <w:rsid w:val="008E7F79"/>
    <w:rsid w:val="00913C89"/>
    <w:rsid w:val="00955217"/>
    <w:rsid w:val="009574F7"/>
    <w:rsid w:val="00963DB4"/>
    <w:rsid w:val="00967606"/>
    <w:rsid w:val="00976170"/>
    <w:rsid w:val="00981238"/>
    <w:rsid w:val="009C2782"/>
    <w:rsid w:val="009C6F3E"/>
    <w:rsid w:val="009D1C15"/>
    <w:rsid w:val="009D57CB"/>
    <w:rsid w:val="009E17A4"/>
    <w:rsid w:val="009E7A4C"/>
    <w:rsid w:val="009F13C7"/>
    <w:rsid w:val="00A04237"/>
    <w:rsid w:val="00A171D9"/>
    <w:rsid w:val="00A20A2F"/>
    <w:rsid w:val="00A2634C"/>
    <w:rsid w:val="00A339C0"/>
    <w:rsid w:val="00A620A1"/>
    <w:rsid w:val="00A71B59"/>
    <w:rsid w:val="00A73127"/>
    <w:rsid w:val="00A827DA"/>
    <w:rsid w:val="00A85390"/>
    <w:rsid w:val="00AA0715"/>
    <w:rsid w:val="00AA2E91"/>
    <w:rsid w:val="00AC1242"/>
    <w:rsid w:val="00AE40F1"/>
    <w:rsid w:val="00AE65BC"/>
    <w:rsid w:val="00AE72A6"/>
    <w:rsid w:val="00AE787C"/>
    <w:rsid w:val="00AF1569"/>
    <w:rsid w:val="00AF413C"/>
    <w:rsid w:val="00B05C86"/>
    <w:rsid w:val="00B104FE"/>
    <w:rsid w:val="00B12AEC"/>
    <w:rsid w:val="00B1458D"/>
    <w:rsid w:val="00B220CC"/>
    <w:rsid w:val="00B233BD"/>
    <w:rsid w:val="00B3064F"/>
    <w:rsid w:val="00B336B5"/>
    <w:rsid w:val="00B35037"/>
    <w:rsid w:val="00B44FC0"/>
    <w:rsid w:val="00B560EB"/>
    <w:rsid w:val="00B56C02"/>
    <w:rsid w:val="00B61B4B"/>
    <w:rsid w:val="00B8160A"/>
    <w:rsid w:val="00B844BD"/>
    <w:rsid w:val="00B97F20"/>
    <w:rsid w:val="00BB54BD"/>
    <w:rsid w:val="00BC6EB2"/>
    <w:rsid w:val="00BD18D4"/>
    <w:rsid w:val="00BD6F1E"/>
    <w:rsid w:val="00BE3403"/>
    <w:rsid w:val="00BE6286"/>
    <w:rsid w:val="00BE641B"/>
    <w:rsid w:val="00C03F44"/>
    <w:rsid w:val="00C069DA"/>
    <w:rsid w:val="00C1319C"/>
    <w:rsid w:val="00C1640C"/>
    <w:rsid w:val="00C23A76"/>
    <w:rsid w:val="00C245E5"/>
    <w:rsid w:val="00C46BF2"/>
    <w:rsid w:val="00C703B1"/>
    <w:rsid w:val="00C91809"/>
    <w:rsid w:val="00C9536C"/>
    <w:rsid w:val="00CB7518"/>
    <w:rsid w:val="00CC7F30"/>
    <w:rsid w:val="00CD09B8"/>
    <w:rsid w:val="00CE04BB"/>
    <w:rsid w:val="00CE1902"/>
    <w:rsid w:val="00D12D48"/>
    <w:rsid w:val="00D14091"/>
    <w:rsid w:val="00D616E7"/>
    <w:rsid w:val="00D647CA"/>
    <w:rsid w:val="00DA7883"/>
    <w:rsid w:val="00DB2F83"/>
    <w:rsid w:val="00DB52D4"/>
    <w:rsid w:val="00DC1D6D"/>
    <w:rsid w:val="00DC4C13"/>
    <w:rsid w:val="00DE4B7B"/>
    <w:rsid w:val="00E00D2D"/>
    <w:rsid w:val="00E12ED2"/>
    <w:rsid w:val="00E2732E"/>
    <w:rsid w:val="00E2752D"/>
    <w:rsid w:val="00E27835"/>
    <w:rsid w:val="00E33EED"/>
    <w:rsid w:val="00E52035"/>
    <w:rsid w:val="00E53DEF"/>
    <w:rsid w:val="00E55AB7"/>
    <w:rsid w:val="00E62A82"/>
    <w:rsid w:val="00E82DBC"/>
    <w:rsid w:val="00EB166C"/>
    <w:rsid w:val="00EB79A5"/>
    <w:rsid w:val="00EE49E3"/>
    <w:rsid w:val="00EE6F28"/>
    <w:rsid w:val="00EE7760"/>
    <w:rsid w:val="00EF706E"/>
    <w:rsid w:val="00F042A0"/>
    <w:rsid w:val="00F0781A"/>
    <w:rsid w:val="00F10610"/>
    <w:rsid w:val="00F1312D"/>
    <w:rsid w:val="00F16820"/>
    <w:rsid w:val="00F17B35"/>
    <w:rsid w:val="00F63329"/>
    <w:rsid w:val="00F82462"/>
    <w:rsid w:val="00F9205E"/>
    <w:rsid w:val="00FA1DE5"/>
    <w:rsid w:val="00FD6A39"/>
    <w:rsid w:val="00FE00BD"/>
    <w:rsid w:val="00FE0878"/>
    <w:rsid w:val="00FE4213"/>
    <w:rsid w:val="00FF65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4FFE"/>
    <w:pPr>
      <w:ind w:left="720"/>
      <w:contextualSpacing/>
    </w:pPr>
  </w:style>
  <w:style w:type="paragraph" w:styleId="Textodeglobo">
    <w:name w:val="Balloon Text"/>
    <w:basedOn w:val="Normal"/>
    <w:link w:val="TextodegloboCar"/>
    <w:uiPriority w:val="99"/>
    <w:semiHidden/>
    <w:unhideWhenUsed/>
    <w:rsid w:val="001F62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21E"/>
    <w:rPr>
      <w:rFonts w:ascii="Tahoma" w:hAnsi="Tahoma" w:cs="Tahoma"/>
      <w:sz w:val="16"/>
      <w:szCs w:val="16"/>
    </w:rPr>
  </w:style>
  <w:style w:type="paragraph" w:styleId="Textonotaalfinal">
    <w:name w:val="endnote text"/>
    <w:basedOn w:val="Normal"/>
    <w:link w:val="TextonotaalfinalCar"/>
    <w:uiPriority w:val="99"/>
    <w:semiHidden/>
    <w:unhideWhenUsed/>
    <w:rsid w:val="00BD18D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18D4"/>
    <w:rPr>
      <w:sz w:val="20"/>
      <w:szCs w:val="20"/>
    </w:rPr>
  </w:style>
  <w:style w:type="character" w:styleId="Refdenotaalfinal">
    <w:name w:val="endnote reference"/>
    <w:basedOn w:val="Fuentedeprrafopredeter"/>
    <w:uiPriority w:val="99"/>
    <w:semiHidden/>
    <w:unhideWhenUsed/>
    <w:rsid w:val="00BD18D4"/>
    <w:rPr>
      <w:vertAlign w:val="superscript"/>
    </w:rPr>
  </w:style>
  <w:style w:type="paragraph" w:styleId="Textonotapie">
    <w:name w:val="footnote text"/>
    <w:basedOn w:val="Normal"/>
    <w:link w:val="TextonotapieCar"/>
    <w:uiPriority w:val="99"/>
    <w:semiHidden/>
    <w:unhideWhenUsed/>
    <w:rsid w:val="00BD18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18D4"/>
    <w:rPr>
      <w:sz w:val="20"/>
      <w:szCs w:val="20"/>
    </w:rPr>
  </w:style>
  <w:style w:type="character" w:styleId="Refdenotaalpie">
    <w:name w:val="footnote reference"/>
    <w:basedOn w:val="Fuentedeprrafopredeter"/>
    <w:uiPriority w:val="99"/>
    <w:semiHidden/>
    <w:unhideWhenUsed/>
    <w:rsid w:val="00BD18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4FFE"/>
    <w:pPr>
      <w:ind w:left="720"/>
      <w:contextualSpacing/>
    </w:pPr>
  </w:style>
  <w:style w:type="paragraph" w:styleId="Textodeglobo">
    <w:name w:val="Balloon Text"/>
    <w:basedOn w:val="Normal"/>
    <w:link w:val="TextodegloboCar"/>
    <w:uiPriority w:val="99"/>
    <w:semiHidden/>
    <w:unhideWhenUsed/>
    <w:rsid w:val="001F62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21E"/>
    <w:rPr>
      <w:rFonts w:ascii="Tahoma" w:hAnsi="Tahoma" w:cs="Tahoma"/>
      <w:sz w:val="16"/>
      <w:szCs w:val="16"/>
    </w:rPr>
  </w:style>
  <w:style w:type="paragraph" w:styleId="Textonotaalfinal">
    <w:name w:val="endnote text"/>
    <w:basedOn w:val="Normal"/>
    <w:link w:val="TextonotaalfinalCar"/>
    <w:uiPriority w:val="99"/>
    <w:semiHidden/>
    <w:unhideWhenUsed/>
    <w:rsid w:val="00BD18D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18D4"/>
    <w:rPr>
      <w:sz w:val="20"/>
      <w:szCs w:val="20"/>
    </w:rPr>
  </w:style>
  <w:style w:type="character" w:styleId="Refdenotaalfinal">
    <w:name w:val="endnote reference"/>
    <w:basedOn w:val="Fuentedeprrafopredeter"/>
    <w:uiPriority w:val="99"/>
    <w:semiHidden/>
    <w:unhideWhenUsed/>
    <w:rsid w:val="00BD18D4"/>
    <w:rPr>
      <w:vertAlign w:val="superscript"/>
    </w:rPr>
  </w:style>
  <w:style w:type="paragraph" w:styleId="Textonotapie">
    <w:name w:val="footnote text"/>
    <w:basedOn w:val="Normal"/>
    <w:link w:val="TextonotapieCar"/>
    <w:uiPriority w:val="99"/>
    <w:semiHidden/>
    <w:unhideWhenUsed/>
    <w:rsid w:val="00BD18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18D4"/>
    <w:rPr>
      <w:sz w:val="20"/>
      <w:szCs w:val="20"/>
    </w:rPr>
  </w:style>
  <w:style w:type="character" w:styleId="Refdenotaalpie">
    <w:name w:val="footnote reference"/>
    <w:basedOn w:val="Fuentedeprrafopredeter"/>
    <w:uiPriority w:val="99"/>
    <w:semiHidden/>
    <w:unhideWhenUsed/>
    <w:rsid w:val="00BD1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180">
      <w:bodyDiv w:val="1"/>
      <w:marLeft w:val="0"/>
      <w:marRight w:val="0"/>
      <w:marTop w:val="0"/>
      <w:marBottom w:val="0"/>
      <w:divBdr>
        <w:top w:val="none" w:sz="0" w:space="0" w:color="auto"/>
        <w:left w:val="none" w:sz="0" w:space="0" w:color="auto"/>
        <w:bottom w:val="none" w:sz="0" w:space="0" w:color="auto"/>
        <w:right w:val="none" w:sz="0" w:space="0" w:color="auto"/>
      </w:divBdr>
    </w:div>
    <w:div w:id="93986160">
      <w:bodyDiv w:val="1"/>
      <w:marLeft w:val="0"/>
      <w:marRight w:val="0"/>
      <w:marTop w:val="0"/>
      <w:marBottom w:val="0"/>
      <w:divBdr>
        <w:top w:val="none" w:sz="0" w:space="0" w:color="auto"/>
        <w:left w:val="none" w:sz="0" w:space="0" w:color="auto"/>
        <w:bottom w:val="none" w:sz="0" w:space="0" w:color="auto"/>
        <w:right w:val="none" w:sz="0" w:space="0" w:color="auto"/>
      </w:divBdr>
    </w:div>
    <w:div w:id="157775502">
      <w:bodyDiv w:val="1"/>
      <w:marLeft w:val="0"/>
      <w:marRight w:val="0"/>
      <w:marTop w:val="0"/>
      <w:marBottom w:val="0"/>
      <w:divBdr>
        <w:top w:val="none" w:sz="0" w:space="0" w:color="auto"/>
        <w:left w:val="none" w:sz="0" w:space="0" w:color="auto"/>
        <w:bottom w:val="none" w:sz="0" w:space="0" w:color="auto"/>
        <w:right w:val="none" w:sz="0" w:space="0" w:color="auto"/>
      </w:divBdr>
    </w:div>
    <w:div w:id="173886045">
      <w:bodyDiv w:val="1"/>
      <w:marLeft w:val="0"/>
      <w:marRight w:val="0"/>
      <w:marTop w:val="0"/>
      <w:marBottom w:val="0"/>
      <w:divBdr>
        <w:top w:val="none" w:sz="0" w:space="0" w:color="auto"/>
        <w:left w:val="none" w:sz="0" w:space="0" w:color="auto"/>
        <w:bottom w:val="none" w:sz="0" w:space="0" w:color="auto"/>
        <w:right w:val="none" w:sz="0" w:space="0" w:color="auto"/>
      </w:divBdr>
    </w:div>
    <w:div w:id="238485837">
      <w:bodyDiv w:val="1"/>
      <w:marLeft w:val="0"/>
      <w:marRight w:val="0"/>
      <w:marTop w:val="0"/>
      <w:marBottom w:val="0"/>
      <w:divBdr>
        <w:top w:val="none" w:sz="0" w:space="0" w:color="auto"/>
        <w:left w:val="none" w:sz="0" w:space="0" w:color="auto"/>
        <w:bottom w:val="none" w:sz="0" w:space="0" w:color="auto"/>
        <w:right w:val="none" w:sz="0" w:space="0" w:color="auto"/>
      </w:divBdr>
    </w:div>
    <w:div w:id="263343557">
      <w:bodyDiv w:val="1"/>
      <w:marLeft w:val="0"/>
      <w:marRight w:val="0"/>
      <w:marTop w:val="0"/>
      <w:marBottom w:val="0"/>
      <w:divBdr>
        <w:top w:val="none" w:sz="0" w:space="0" w:color="auto"/>
        <w:left w:val="none" w:sz="0" w:space="0" w:color="auto"/>
        <w:bottom w:val="none" w:sz="0" w:space="0" w:color="auto"/>
        <w:right w:val="none" w:sz="0" w:space="0" w:color="auto"/>
      </w:divBdr>
    </w:div>
    <w:div w:id="281964299">
      <w:bodyDiv w:val="1"/>
      <w:marLeft w:val="0"/>
      <w:marRight w:val="0"/>
      <w:marTop w:val="0"/>
      <w:marBottom w:val="0"/>
      <w:divBdr>
        <w:top w:val="none" w:sz="0" w:space="0" w:color="auto"/>
        <w:left w:val="none" w:sz="0" w:space="0" w:color="auto"/>
        <w:bottom w:val="none" w:sz="0" w:space="0" w:color="auto"/>
        <w:right w:val="none" w:sz="0" w:space="0" w:color="auto"/>
      </w:divBdr>
    </w:div>
    <w:div w:id="356349960">
      <w:bodyDiv w:val="1"/>
      <w:marLeft w:val="0"/>
      <w:marRight w:val="0"/>
      <w:marTop w:val="0"/>
      <w:marBottom w:val="0"/>
      <w:divBdr>
        <w:top w:val="none" w:sz="0" w:space="0" w:color="auto"/>
        <w:left w:val="none" w:sz="0" w:space="0" w:color="auto"/>
        <w:bottom w:val="none" w:sz="0" w:space="0" w:color="auto"/>
        <w:right w:val="none" w:sz="0" w:space="0" w:color="auto"/>
      </w:divBdr>
    </w:div>
    <w:div w:id="518470890">
      <w:bodyDiv w:val="1"/>
      <w:marLeft w:val="0"/>
      <w:marRight w:val="0"/>
      <w:marTop w:val="0"/>
      <w:marBottom w:val="0"/>
      <w:divBdr>
        <w:top w:val="none" w:sz="0" w:space="0" w:color="auto"/>
        <w:left w:val="none" w:sz="0" w:space="0" w:color="auto"/>
        <w:bottom w:val="none" w:sz="0" w:space="0" w:color="auto"/>
        <w:right w:val="none" w:sz="0" w:space="0" w:color="auto"/>
      </w:divBdr>
    </w:div>
    <w:div w:id="545147366">
      <w:bodyDiv w:val="1"/>
      <w:marLeft w:val="0"/>
      <w:marRight w:val="0"/>
      <w:marTop w:val="0"/>
      <w:marBottom w:val="0"/>
      <w:divBdr>
        <w:top w:val="none" w:sz="0" w:space="0" w:color="auto"/>
        <w:left w:val="none" w:sz="0" w:space="0" w:color="auto"/>
        <w:bottom w:val="none" w:sz="0" w:space="0" w:color="auto"/>
        <w:right w:val="none" w:sz="0" w:space="0" w:color="auto"/>
      </w:divBdr>
    </w:div>
    <w:div w:id="683675434">
      <w:bodyDiv w:val="1"/>
      <w:marLeft w:val="0"/>
      <w:marRight w:val="0"/>
      <w:marTop w:val="0"/>
      <w:marBottom w:val="0"/>
      <w:divBdr>
        <w:top w:val="none" w:sz="0" w:space="0" w:color="auto"/>
        <w:left w:val="none" w:sz="0" w:space="0" w:color="auto"/>
        <w:bottom w:val="none" w:sz="0" w:space="0" w:color="auto"/>
        <w:right w:val="none" w:sz="0" w:space="0" w:color="auto"/>
      </w:divBdr>
    </w:div>
    <w:div w:id="715006114">
      <w:bodyDiv w:val="1"/>
      <w:marLeft w:val="0"/>
      <w:marRight w:val="0"/>
      <w:marTop w:val="0"/>
      <w:marBottom w:val="0"/>
      <w:divBdr>
        <w:top w:val="none" w:sz="0" w:space="0" w:color="auto"/>
        <w:left w:val="none" w:sz="0" w:space="0" w:color="auto"/>
        <w:bottom w:val="none" w:sz="0" w:space="0" w:color="auto"/>
        <w:right w:val="none" w:sz="0" w:space="0" w:color="auto"/>
      </w:divBdr>
    </w:div>
    <w:div w:id="724334679">
      <w:bodyDiv w:val="1"/>
      <w:marLeft w:val="0"/>
      <w:marRight w:val="0"/>
      <w:marTop w:val="0"/>
      <w:marBottom w:val="0"/>
      <w:divBdr>
        <w:top w:val="none" w:sz="0" w:space="0" w:color="auto"/>
        <w:left w:val="none" w:sz="0" w:space="0" w:color="auto"/>
        <w:bottom w:val="none" w:sz="0" w:space="0" w:color="auto"/>
        <w:right w:val="none" w:sz="0" w:space="0" w:color="auto"/>
      </w:divBdr>
    </w:div>
    <w:div w:id="728958932">
      <w:bodyDiv w:val="1"/>
      <w:marLeft w:val="0"/>
      <w:marRight w:val="0"/>
      <w:marTop w:val="0"/>
      <w:marBottom w:val="0"/>
      <w:divBdr>
        <w:top w:val="none" w:sz="0" w:space="0" w:color="auto"/>
        <w:left w:val="none" w:sz="0" w:space="0" w:color="auto"/>
        <w:bottom w:val="none" w:sz="0" w:space="0" w:color="auto"/>
        <w:right w:val="none" w:sz="0" w:space="0" w:color="auto"/>
      </w:divBdr>
    </w:div>
    <w:div w:id="779027860">
      <w:bodyDiv w:val="1"/>
      <w:marLeft w:val="0"/>
      <w:marRight w:val="0"/>
      <w:marTop w:val="0"/>
      <w:marBottom w:val="0"/>
      <w:divBdr>
        <w:top w:val="none" w:sz="0" w:space="0" w:color="auto"/>
        <w:left w:val="none" w:sz="0" w:space="0" w:color="auto"/>
        <w:bottom w:val="none" w:sz="0" w:space="0" w:color="auto"/>
        <w:right w:val="none" w:sz="0" w:space="0" w:color="auto"/>
      </w:divBdr>
    </w:div>
    <w:div w:id="782728098">
      <w:bodyDiv w:val="1"/>
      <w:marLeft w:val="0"/>
      <w:marRight w:val="0"/>
      <w:marTop w:val="0"/>
      <w:marBottom w:val="0"/>
      <w:divBdr>
        <w:top w:val="none" w:sz="0" w:space="0" w:color="auto"/>
        <w:left w:val="none" w:sz="0" w:space="0" w:color="auto"/>
        <w:bottom w:val="none" w:sz="0" w:space="0" w:color="auto"/>
        <w:right w:val="none" w:sz="0" w:space="0" w:color="auto"/>
      </w:divBdr>
    </w:div>
    <w:div w:id="1029645238">
      <w:bodyDiv w:val="1"/>
      <w:marLeft w:val="0"/>
      <w:marRight w:val="0"/>
      <w:marTop w:val="0"/>
      <w:marBottom w:val="0"/>
      <w:divBdr>
        <w:top w:val="none" w:sz="0" w:space="0" w:color="auto"/>
        <w:left w:val="none" w:sz="0" w:space="0" w:color="auto"/>
        <w:bottom w:val="none" w:sz="0" w:space="0" w:color="auto"/>
        <w:right w:val="none" w:sz="0" w:space="0" w:color="auto"/>
      </w:divBdr>
    </w:div>
    <w:div w:id="1130051403">
      <w:bodyDiv w:val="1"/>
      <w:marLeft w:val="0"/>
      <w:marRight w:val="0"/>
      <w:marTop w:val="0"/>
      <w:marBottom w:val="0"/>
      <w:divBdr>
        <w:top w:val="none" w:sz="0" w:space="0" w:color="auto"/>
        <w:left w:val="none" w:sz="0" w:space="0" w:color="auto"/>
        <w:bottom w:val="none" w:sz="0" w:space="0" w:color="auto"/>
        <w:right w:val="none" w:sz="0" w:space="0" w:color="auto"/>
      </w:divBdr>
    </w:div>
    <w:div w:id="1140151738">
      <w:bodyDiv w:val="1"/>
      <w:marLeft w:val="0"/>
      <w:marRight w:val="0"/>
      <w:marTop w:val="0"/>
      <w:marBottom w:val="0"/>
      <w:divBdr>
        <w:top w:val="none" w:sz="0" w:space="0" w:color="auto"/>
        <w:left w:val="none" w:sz="0" w:space="0" w:color="auto"/>
        <w:bottom w:val="none" w:sz="0" w:space="0" w:color="auto"/>
        <w:right w:val="none" w:sz="0" w:space="0" w:color="auto"/>
      </w:divBdr>
    </w:div>
    <w:div w:id="1186944267">
      <w:bodyDiv w:val="1"/>
      <w:marLeft w:val="0"/>
      <w:marRight w:val="0"/>
      <w:marTop w:val="0"/>
      <w:marBottom w:val="0"/>
      <w:divBdr>
        <w:top w:val="none" w:sz="0" w:space="0" w:color="auto"/>
        <w:left w:val="none" w:sz="0" w:space="0" w:color="auto"/>
        <w:bottom w:val="none" w:sz="0" w:space="0" w:color="auto"/>
        <w:right w:val="none" w:sz="0" w:space="0" w:color="auto"/>
      </w:divBdr>
    </w:div>
    <w:div w:id="1344698872">
      <w:bodyDiv w:val="1"/>
      <w:marLeft w:val="0"/>
      <w:marRight w:val="0"/>
      <w:marTop w:val="0"/>
      <w:marBottom w:val="0"/>
      <w:divBdr>
        <w:top w:val="none" w:sz="0" w:space="0" w:color="auto"/>
        <w:left w:val="none" w:sz="0" w:space="0" w:color="auto"/>
        <w:bottom w:val="none" w:sz="0" w:space="0" w:color="auto"/>
        <w:right w:val="none" w:sz="0" w:space="0" w:color="auto"/>
      </w:divBdr>
    </w:div>
    <w:div w:id="1357072918">
      <w:bodyDiv w:val="1"/>
      <w:marLeft w:val="0"/>
      <w:marRight w:val="0"/>
      <w:marTop w:val="0"/>
      <w:marBottom w:val="0"/>
      <w:divBdr>
        <w:top w:val="none" w:sz="0" w:space="0" w:color="auto"/>
        <w:left w:val="none" w:sz="0" w:space="0" w:color="auto"/>
        <w:bottom w:val="none" w:sz="0" w:space="0" w:color="auto"/>
        <w:right w:val="none" w:sz="0" w:space="0" w:color="auto"/>
      </w:divBdr>
    </w:div>
    <w:div w:id="1578980058">
      <w:bodyDiv w:val="1"/>
      <w:marLeft w:val="0"/>
      <w:marRight w:val="0"/>
      <w:marTop w:val="0"/>
      <w:marBottom w:val="0"/>
      <w:divBdr>
        <w:top w:val="none" w:sz="0" w:space="0" w:color="auto"/>
        <w:left w:val="none" w:sz="0" w:space="0" w:color="auto"/>
        <w:bottom w:val="none" w:sz="0" w:space="0" w:color="auto"/>
        <w:right w:val="none" w:sz="0" w:space="0" w:color="auto"/>
      </w:divBdr>
    </w:div>
    <w:div w:id="1587230458">
      <w:bodyDiv w:val="1"/>
      <w:marLeft w:val="0"/>
      <w:marRight w:val="0"/>
      <w:marTop w:val="0"/>
      <w:marBottom w:val="0"/>
      <w:divBdr>
        <w:top w:val="none" w:sz="0" w:space="0" w:color="auto"/>
        <w:left w:val="none" w:sz="0" w:space="0" w:color="auto"/>
        <w:bottom w:val="none" w:sz="0" w:space="0" w:color="auto"/>
        <w:right w:val="none" w:sz="0" w:space="0" w:color="auto"/>
      </w:divBdr>
    </w:div>
    <w:div w:id="1904364815">
      <w:bodyDiv w:val="1"/>
      <w:marLeft w:val="0"/>
      <w:marRight w:val="0"/>
      <w:marTop w:val="0"/>
      <w:marBottom w:val="0"/>
      <w:divBdr>
        <w:top w:val="none" w:sz="0" w:space="0" w:color="auto"/>
        <w:left w:val="none" w:sz="0" w:space="0" w:color="auto"/>
        <w:bottom w:val="none" w:sz="0" w:space="0" w:color="auto"/>
        <w:right w:val="none" w:sz="0" w:space="0" w:color="auto"/>
      </w:divBdr>
    </w:div>
    <w:div w:id="1951469622">
      <w:bodyDiv w:val="1"/>
      <w:marLeft w:val="0"/>
      <w:marRight w:val="0"/>
      <w:marTop w:val="0"/>
      <w:marBottom w:val="0"/>
      <w:divBdr>
        <w:top w:val="none" w:sz="0" w:space="0" w:color="auto"/>
        <w:left w:val="none" w:sz="0" w:space="0" w:color="auto"/>
        <w:bottom w:val="none" w:sz="0" w:space="0" w:color="auto"/>
        <w:right w:val="none" w:sz="0" w:space="0" w:color="auto"/>
      </w:divBdr>
    </w:div>
    <w:div w:id="1967273170">
      <w:bodyDiv w:val="1"/>
      <w:marLeft w:val="0"/>
      <w:marRight w:val="0"/>
      <w:marTop w:val="0"/>
      <w:marBottom w:val="0"/>
      <w:divBdr>
        <w:top w:val="none" w:sz="0" w:space="0" w:color="auto"/>
        <w:left w:val="none" w:sz="0" w:space="0" w:color="auto"/>
        <w:bottom w:val="none" w:sz="0" w:space="0" w:color="auto"/>
        <w:right w:val="none" w:sz="0" w:space="0" w:color="auto"/>
      </w:divBdr>
    </w:div>
    <w:div w:id="20524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8B574-B233-40B9-8885-DC601EEF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8294</Words>
  <Characters>45618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2018-04-20T20:42:00Z</cp:lastPrinted>
  <dcterms:created xsi:type="dcterms:W3CDTF">2018-07-31T23:36:00Z</dcterms:created>
  <dcterms:modified xsi:type="dcterms:W3CDTF">2018-08-01T02:04:00Z</dcterms:modified>
</cp:coreProperties>
</file>